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A5" w:rsidRDefault="005A25A5" w:rsidP="005A25A5">
      <w:pPr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长春铁路运输两级法院</w:t>
      </w:r>
    </w:p>
    <w:p w:rsidR="005A25A5" w:rsidRDefault="005A25A5" w:rsidP="005A25A5">
      <w:pPr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关于裁判文书上网指标情况的报告</w:t>
      </w:r>
    </w:p>
    <w:p w:rsidR="00B43D6A" w:rsidRPr="005A25A5" w:rsidRDefault="00B43D6A" w:rsidP="00B43D6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43D6A" w:rsidRDefault="005A25A5" w:rsidP="00B43D6A">
      <w:pPr>
        <w:jc w:val="left"/>
        <w:rPr>
          <w:rFonts w:ascii="仿宋_GB2312" w:eastAsia="仿宋_GB2312" w:hAnsiTheme="majorEastAsia" w:hint="eastAsia"/>
          <w:b/>
          <w:sz w:val="32"/>
          <w:szCs w:val="32"/>
        </w:rPr>
      </w:pPr>
      <w:r>
        <w:rPr>
          <w:rFonts w:ascii="仿宋_GB2312" w:eastAsia="仿宋_GB2312" w:hAnsiTheme="majorEastAsia" w:hint="eastAsia"/>
          <w:b/>
          <w:sz w:val="32"/>
          <w:szCs w:val="32"/>
        </w:rPr>
        <w:t>省高院：</w:t>
      </w:r>
    </w:p>
    <w:p w:rsidR="001C3E71" w:rsidRDefault="005A25A5" w:rsidP="00B43D6A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Theme="majorEastAsia" w:hint="eastAsia"/>
          <w:b/>
          <w:sz w:val="32"/>
          <w:szCs w:val="32"/>
        </w:rPr>
        <w:t xml:space="preserve">    </w:t>
      </w:r>
      <w:r w:rsidR="00D671C0">
        <w:rPr>
          <w:rFonts w:ascii="仿宋_GB2312" w:eastAsia="仿宋_GB2312" w:hAnsiTheme="majorEastAsia" w:hint="eastAsia"/>
          <w:sz w:val="32"/>
          <w:szCs w:val="32"/>
        </w:rPr>
        <w:t>铁路两级法院严格按照</w:t>
      </w:r>
      <w:r w:rsidR="001C3E71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="00D671C0">
        <w:rPr>
          <w:rFonts w:ascii="仿宋_GB2312" w:eastAsia="仿宋_GB2312" w:hAnsiTheme="majorEastAsia" w:hint="eastAsia"/>
          <w:sz w:val="32"/>
          <w:szCs w:val="32"/>
        </w:rPr>
        <w:t>“以公开为原则，不公开为例外”的裁判文书上网工作要求</w:t>
      </w:r>
      <w:r w:rsidR="001C3E71">
        <w:rPr>
          <w:rFonts w:ascii="仿宋_GB2312" w:eastAsia="仿宋_GB2312" w:hAnsiTheme="majorEastAsia" w:hint="eastAsia"/>
          <w:sz w:val="32"/>
          <w:szCs w:val="32"/>
        </w:rPr>
        <w:t>，对裁判文书进行上网公开公示，并严抓上网裁判文书质量，定期督导按月通报。但在2021年上半年，因受客观因素影响，</w:t>
      </w:r>
      <w:r w:rsidR="001C3E71" w:rsidRPr="001C3E71">
        <w:rPr>
          <w:rFonts w:ascii="仿宋_GB2312" w:eastAsia="仿宋_GB2312" w:hAnsi="仿宋_GB2312" w:cs="仿宋_GB2312" w:hint="eastAsia"/>
          <w:sz w:val="32"/>
          <w:szCs w:val="32"/>
        </w:rPr>
        <w:t>两级法院在</w:t>
      </w:r>
      <w:r w:rsidR="001C3E71">
        <w:rPr>
          <w:rFonts w:ascii="仿宋_GB2312" w:eastAsia="仿宋_GB2312" w:hAnsi="仿宋_GB2312" w:cs="仿宋_GB2312" w:hint="eastAsia"/>
          <w:sz w:val="32"/>
          <w:szCs w:val="32"/>
        </w:rPr>
        <w:t>裁判文书上网半年</w:t>
      </w:r>
      <w:r w:rsidR="001C3E71" w:rsidRPr="001C3E71">
        <w:rPr>
          <w:rFonts w:ascii="仿宋_GB2312" w:eastAsia="仿宋_GB2312" w:hAnsi="仿宋_GB2312" w:cs="仿宋_GB2312" w:hint="eastAsia"/>
          <w:sz w:val="32"/>
          <w:szCs w:val="32"/>
        </w:rPr>
        <w:t>考核指标的完成上存在一定难度，现汇报如下</w:t>
      </w:r>
      <w:r w:rsidR="00925C70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925C70" w:rsidRDefault="00CB62FD" w:rsidP="00B43D6A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48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一、客观原因</w:t>
      </w:r>
    </w:p>
    <w:p w:rsidR="009A38D0" w:rsidRPr="009A38D0" w:rsidRDefault="009A38D0" w:rsidP="00B43D6A">
      <w:pPr>
        <w:jc w:val="left"/>
        <w:rPr>
          <w:rFonts w:ascii="楷体_GB2312" w:eastAsia="楷体_GB2312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</w:t>
      </w:r>
      <w:r w:rsidRPr="009A38D0">
        <w:rPr>
          <w:rFonts w:ascii="楷体_GB2312" w:eastAsia="楷体_GB2312" w:hAnsi="黑体" w:hint="eastAsia"/>
          <w:b/>
          <w:sz w:val="32"/>
          <w:szCs w:val="32"/>
        </w:rPr>
        <w:t>（一）上级法院政策要求</w:t>
      </w:r>
    </w:p>
    <w:p w:rsidR="00CB62FD" w:rsidRPr="003F4A34" w:rsidRDefault="00CB62FD" w:rsidP="00B43D6A">
      <w:pPr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="003F4A34" w:rsidRPr="003F4A34">
        <w:rPr>
          <w:rFonts w:ascii="仿宋_GB2312" w:eastAsia="仿宋_GB2312" w:hAnsi="黑体" w:hint="eastAsia"/>
          <w:sz w:val="32"/>
          <w:szCs w:val="32"/>
        </w:rPr>
        <w:t>根据上级法院</w:t>
      </w:r>
      <w:r w:rsidR="003F4A34">
        <w:rPr>
          <w:rFonts w:ascii="仿宋_GB2312" w:eastAsia="仿宋_GB2312" w:hAnsi="黑体" w:hint="eastAsia"/>
          <w:sz w:val="32"/>
          <w:szCs w:val="32"/>
        </w:rPr>
        <w:t>政策要求：对涉敏案件进行撤回操作。铁路两级法院对刑事涉职务犯罪案件进行了撤回，由于行政案件涉及社会热点等敏感信息，</w:t>
      </w:r>
      <w:r w:rsidR="00316C3C">
        <w:rPr>
          <w:rFonts w:ascii="仿宋_GB2312" w:eastAsia="仿宋_GB2312" w:hAnsi="黑体" w:hint="eastAsia"/>
          <w:sz w:val="32"/>
          <w:szCs w:val="32"/>
        </w:rPr>
        <w:t>也暂未上传。具体数据如下：</w:t>
      </w:r>
    </w:p>
    <w:p w:rsidR="00B43D6A" w:rsidRDefault="00B43D6A" w:rsidP="00B43D6A">
      <w:pPr>
        <w:jc w:val="left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</w:t>
      </w:r>
      <w:r w:rsidR="005A25A5" w:rsidRPr="00B43D6A">
        <w:rPr>
          <w:rFonts w:ascii="仿宋_GB2312" w:eastAsia="仿宋_GB2312" w:hAnsiTheme="majorEastAsia" w:hint="eastAsia"/>
          <w:b/>
          <w:sz w:val="32"/>
          <w:szCs w:val="32"/>
        </w:rPr>
        <w:t>中院：</w:t>
      </w:r>
      <w:r>
        <w:rPr>
          <w:rFonts w:ascii="仿宋_GB2312" w:eastAsia="仿宋_GB2312" w:hAnsiTheme="majorEastAsia" w:hint="eastAsia"/>
          <w:sz w:val="32"/>
          <w:szCs w:val="32"/>
        </w:rPr>
        <w:t>截止2021上半年6月30日，中院结案数为141件，裁判文书上网，文书公开4</w:t>
      </w:r>
      <w:r w:rsidR="00043A12">
        <w:rPr>
          <w:rFonts w:ascii="仿宋_GB2312" w:eastAsia="仿宋_GB2312" w:hAnsiTheme="majorEastAsia" w:hint="eastAsia"/>
          <w:sz w:val="32"/>
          <w:szCs w:val="32"/>
        </w:rPr>
        <w:t>4</w:t>
      </w:r>
      <w:r w:rsidR="00B016FE">
        <w:rPr>
          <w:rFonts w:ascii="仿宋_GB2312" w:eastAsia="仿宋_GB2312" w:hAnsiTheme="majorEastAsia" w:hint="eastAsia"/>
          <w:sz w:val="32"/>
          <w:szCs w:val="32"/>
        </w:rPr>
        <w:t>篇</w:t>
      </w:r>
      <w:r>
        <w:rPr>
          <w:rFonts w:ascii="仿宋_GB2312" w:eastAsia="仿宋_GB2312" w:hAnsiTheme="majorEastAsia" w:hint="eastAsia"/>
          <w:sz w:val="32"/>
          <w:szCs w:val="32"/>
        </w:rPr>
        <w:t>，信息公开4</w:t>
      </w:r>
      <w:r w:rsidR="00B016FE">
        <w:rPr>
          <w:rFonts w:ascii="仿宋_GB2312" w:eastAsia="仿宋_GB2312" w:hAnsiTheme="majorEastAsia" w:hint="eastAsia"/>
          <w:sz w:val="32"/>
          <w:szCs w:val="32"/>
        </w:rPr>
        <w:t>篇</w:t>
      </w:r>
      <w:r>
        <w:rPr>
          <w:rFonts w:ascii="仿宋_GB2312" w:eastAsia="仿宋_GB2312" w:hAnsiTheme="majorEastAsia" w:hint="eastAsia"/>
          <w:sz w:val="32"/>
          <w:szCs w:val="32"/>
        </w:rPr>
        <w:t>，共4</w:t>
      </w:r>
      <w:r w:rsidR="00043A12">
        <w:rPr>
          <w:rFonts w:ascii="仿宋_GB2312" w:eastAsia="仿宋_GB2312" w:hAnsiTheme="majorEastAsia" w:hint="eastAsia"/>
          <w:sz w:val="32"/>
          <w:szCs w:val="32"/>
        </w:rPr>
        <w:t>8</w:t>
      </w:r>
      <w:r w:rsidR="00B016FE">
        <w:rPr>
          <w:rFonts w:ascii="仿宋_GB2312" w:eastAsia="仿宋_GB2312" w:hAnsiTheme="majorEastAsia" w:hint="eastAsia"/>
          <w:sz w:val="32"/>
          <w:szCs w:val="32"/>
        </w:rPr>
        <w:t>篇</w:t>
      </w:r>
      <w:r>
        <w:rPr>
          <w:rFonts w:ascii="仿宋_GB2312" w:eastAsia="仿宋_GB2312" w:hAnsiTheme="majorEastAsia" w:hint="eastAsia"/>
          <w:sz w:val="32"/>
          <w:szCs w:val="32"/>
        </w:rPr>
        <w:t>，裁判文书上网率为31.91%。因涉敏、涉社会热点，有</w:t>
      </w:r>
      <w:r w:rsidR="00E71D12">
        <w:rPr>
          <w:rFonts w:ascii="仿宋_GB2312" w:eastAsia="仿宋_GB2312" w:hAnsiTheme="majorEastAsia" w:hint="eastAsia"/>
          <w:sz w:val="32"/>
          <w:szCs w:val="32"/>
        </w:rPr>
        <w:t>60</w:t>
      </w:r>
      <w:r w:rsidR="00B016FE">
        <w:rPr>
          <w:rFonts w:ascii="仿宋_GB2312" w:eastAsia="仿宋_GB2312" w:hAnsiTheme="majorEastAsia" w:hint="eastAsia"/>
          <w:sz w:val="32"/>
          <w:szCs w:val="32"/>
        </w:rPr>
        <w:t>篇</w:t>
      </w:r>
      <w:r>
        <w:rPr>
          <w:rFonts w:ascii="仿宋_GB2312" w:eastAsia="仿宋_GB2312" w:hAnsiTheme="majorEastAsia" w:hint="eastAsia"/>
          <w:sz w:val="32"/>
          <w:szCs w:val="32"/>
        </w:rPr>
        <w:t>行政案件文书未进行上传，1</w:t>
      </w:r>
      <w:r w:rsidR="00B016FE">
        <w:rPr>
          <w:rFonts w:ascii="仿宋_GB2312" w:eastAsia="仿宋_GB2312" w:hAnsiTheme="majorEastAsia" w:hint="eastAsia"/>
          <w:sz w:val="32"/>
          <w:szCs w:val="32"/>
        </w:rPr>
        <w:t>篇</w:t>
      </w:r>
      <w:r>
        <w:rPr>
          <w:rFonts w:ascii="仿宋_GB2312" w:eastAsia="仿宋_GB2312" w:hAnsiTheme="majorEastAsia" w:hint="eastAsia"/>
          <w:sz w:val="32"/>
          <w:szCs w:val="32"/>
        </w:rPr>
        <w:t>涉职务犯罪的刑事案件进行撤回，1</w:t>
      </w:r>
      <w:r w:rsidR="00B016FE">
        <w:rPr>
          <w:rFonts w:ascii="仿宋_GB2312" w:eastAsia="仿宋_GB2312" w:hAnsiTheme="majorEastAsia" w:hint="eastAsia"/>
          <w:sz w:val="32"/>
          <w:szCs w:val="32"/>
        </w:rPr>
        <w:t>篇</w:t>
      </w:r>
      <w:r>
        <w:rPr>
          <w:rFonts w:ascii="仿宋_GB2312" w:eastAsia="仿宋_GB2312" w:hAnsiTheme="majorEastAsia" w:hint="eastAsia"/>
          <w:sz w:val="32"/>
          <w:szCs w:val="32"/>
        </w:rPr>
        <w:t>行政案件涉敏感信息进行撤回</w:t>
      </w:r>
      <w:r w:rsidR="00B016FE">
        <w:rPr>
          <w:rFonts w:ascii="仿宋_GB2312" w:eastAsia="仿宋_GB2312" w:hAnsiTheme="majorEastAsia" w:hint="eastAsia"/>
          <w:sz w:val="32"/>
          <w:szCs w:val="32"/>
        </w:rPr>
        <w:t>；</w:t>
      </w:r>
      <w:r w:rsidR="009362D1">
        <w:rPr>
          <w:rFonts w:ascii="仿宋_GB2312" w:eastAsia="仿宋_GB2312" w:hAnsiTheme="majorEastAsia" w:hint="eastAsia"/>
          <w:sz w:val="32"/>
          <w:szCs w:val="32"/>
        </w:rPr>
        <w:t>2</w:t>
      </w:r>
      <w:r w:rsidR="00B016FE">
        <w:rPr>
          <w:rFonts w:ascii="仿宋_GB2312" w:eastAsia="仿宋_GB2312" w:hAnsiTheme="majorEastAsia" w:hint="eastAsia"/>
          <w:sz w:val="32"/>
          <w:szCs w:val="32"/>
        </w:rPr>
        <w:t>篇涉职务犯罪的刑事案件未进行上传</w:t>
      </w:r>
      <w:r w:rsidR="000E2366">
        <w:rPr>
          <w:rFonts w:ascii="仿宋_GB2312" w:eastAsia="仿宋_GB2312" w:hAnsiTheme="majorEastAsia" w:hint="eastAsia"/>
          <w:sz w:val="32"/>
          <w:szCs w:val="32"/>
        </w:rPr>
        <w:t>，1篇刑事案件涉毒品文书未进行上传</w:t>
      </w:r>
      <w:r>
        <w:rPr>
          <w:rFonts w:ascii="仿宋_GB2312" w:eastAsia="仿宋_GB2312" w:hAnsiTheme="majorEastAsia" w:hint="eastAsia"/>
          <w:sz w:val="32"/>
          <w:szCs w:val="32"/>
        </w:rPr>
        <w:t>。</w:t>
      </w:r>
      <w:r w:rsidR="00B016FE">
        <w:rPr>
          <w:rFonts w:ascii="仿宋_GB2312" w:eastAsia="仿宋_GB2312" w:hAnsiTheme="majorEastAsia" w:hint="eastAsia"/>
          <w:sz w:val="32"/>
          <w:szCs w:val="32"/>
        </w:rPr>
        <w:t>如正常上传，则公开文书</w:t>
      </w:r>
      <w:r w:rsidR="009362D1">
        <w:rPr>
          <w:rFonts w:ascii="仿宋_GB2312" w:eastAsia="仿宋_GB2312" w:hAnsiTheme="majorEastAsia" w:hint="eastAsia"/>
          <w:sz w:val="32"/>
          <w:szCs w:val="32"/>
        </w:rPr>
        <w:t>109</w:t>
      </w:r>
      <w:r w:rsidR="00B016FE">
        <w:rPr>
          <w:rFonts w:ascii="仿宋_GB2312" w:eastAsia="仿宋_GB2312" w:hAnsiTheme="majorEastAsia" w:hint="eastAsia"/>
          <w:sz w:val="32"/>
          <w:szCs w:val="32"/>
        </w:rPr>
        <w:t>篇，信息公开4篇，共11</w:t>
      </w:r>
      <w:r w:rsidR="009362D1">
        <w:rPr>
          <w:rFonts w:ascii="仿宋_GB2312" w:eastAsia="仿宋_GB2312" w:hAnsiTheme="majorEastAsia" w:hint="eastAsia"/>
          <w:sz w:val="32"/>
          <w:szCs w:val="32"/>
        </w:rPr>
        <w:t>3</w:t>
      </w:r>
      <w:r w:rsidR="00B016FE">
        <w:rPr>
          <w:rFonts w:ascii="仿宋_GB2312" w:eastAsia="仿宋_GB2312" w:hAnsiTheme="majorEastAsia" w:hint="eastAsia"/>
          <w:sz w:val="32"/>
          <w:szCs w:val="32"/>
        </w:rPr>
        <w:t>篇，裁判文书上网率为8</w:t>
      </w:r>
      <w:r w:rsidR="009362D1">
        <w:rPr>
          <w:rFonts w:ascii="仿宋_GB2312" w:eastAsia="仿宋_GB2312" w:hAnsiTheme="majorEastAsia" w:hint="eastAsia"/>
          <w:sz w:val="32"/>
          <w:szCs w:val="32"/>
        </w:rPr>
        <w:t>0.14</w:t>
      </w:r>
      <w:r w:rsidR="00B016FE">
        <w:rPr>
          <w:rFonts w:ascii="仿宋_GB2312" w:eastAsia="仿宋_GB2312" w:hAnsiTheme="majorEastAsia" w:hint="eastAsia"/>
          <w:sz w:val="32"/>
          <w:szCs w:val="32"/>
        </w:rPr>
        <w:t>%，达到裁判文书上网率</w:t>
      </w:r>
      <w:r w:rsidR="00B016FE">
        <w:rPr>
          <w:rFonts w:ascii="仿宋_GB2312" w:eastAsia="仿宋_GB2312" w:hAnsiTheme="majorEastAsia" w:hint="eastAsia"/>
          <w:sz w:val="32"/>
          <w:szCs w:val="32"/>
        </w:rPr>
        <w:lastRenderedPageBreak/>
        <w:t>指标要求。</w:t>
      </w:r>
      <w:r w:rsidR="009362D1">
        <w:rPr>
          <w:rFonts w:ascii="仿宋_GB2312" w:eastAsia="仿宋_GB2312" w:hAnsiTheme="majorEastAsia" w:hint="eastAsia"/>
          <w:sz w:val="32"/>
          <w:szCs w:val="32"/>
        </w:rPr>
        <w:t>（详见图一。）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008"/>
        <w:gridCol w:w="992"/>
        <w:gridCol w:w="992"/>
        <w:gridCol w:w="993"/>
        <w:gridCol w:w="1275"/>
        <w:gridCol w:w="940"/>
        <w:gridCol w:w="1302"/>
        <w:gridCol w:w="1302"/>
      </w:tblGrid>
      <w:tr w:rsidR="00953E63" w:rsidTr="00953E63">
        <w:trPr>
          <w:trHeight w:val="328"/>
          <w:jc w:val="center"/>
        </w:trPr>
        <w:tc>
          <w:tcPr>
            <w:tcW w:w="7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法院</w:t>
            </w:r>
          </w:p>
        </w:tc>
        <w:tc>
          <w:tcPr>
            <w:tcW w:w="1008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文书公开数</w:t>
            </w:r>
          </w:p>
        </w:tc>
        <w:tc>
          <w:tcPr>
            <w:tcW w:w="992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信息公开数</w:t>
            </w:r>
          </w:p>
        </w:tc>
        <w:tc>
          <w:tcPr>
            <w:tcW w:w="992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上网率</w:t>
            </w:r>
          </w:p>
        </w:tc>
        <w:tc>
          <w:tcPr>
            <w:tcW w:w="993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结案数</w:t>
            </w:r>
          </w:p>
        </w:tc>
        <w:tc>
          <w:tcPr>
            <w:tcW w:w="1275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9362D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涉敏未上传文书数</w:t>
            </w:r>
          </w:p>
        </w:tc>
        <w:tc>
          <w:tcPr>
            <w:tcW w:w="94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涉敏撤回文书</w:t>
            </w:r>
          </w:p>
        </w:tc>
        <w:tc>
          <w:tcPr>
            <w:tcW w:w="1302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如无客观因素文书公开数</w:t>
            </w:r>
          </w:p>
        </w:tc>
        <w:tc>
          <w:tcPr>
            <w:tcW w:w="1302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正常上传上网率</w:t>
            </w:r>
          </w:p>
        </w:tc>
      </w:tr>
      <w:tr w:rsidR="00953E63" w:rsidRPr="00FF31F9" w:rsidTr="00953E63">
        <w:trPr>
          <w:trHeight w:val="440"/>
          <w:jc w:val="center"/>
        </w:trPr>
        <w:tc>
          <w:tcPr>
            <w:tcW w:w="7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铁路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中院</w:t>
            </w:r>
          </w:p>
        </w:tc>
        <w:tc>
          <w:tcPr>
            <w:tcW w:w="1008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31.91%</w:t>
            </w:r>
          </w:p>
        </w:tc>
        <w:tc>
          <w:tcPr>
            <w:tcW w:w="993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75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E71D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4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E71D12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953E63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02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80.14%</w:t>
            </w:r>
          </w:p>
        </w:tc>
      </w:tr>
    </w:tbl>
    <w:p w:rsidR="00FF31F9" w:rsidRPr="005A25A5" w:rsidRDefault="00FF31F9" w:rsidP="00B43D6A">
      <w:pPr>
        <w:jc w:val="left"/>
        <w:rPr>
          <w:rFonts w:ascii="仿宋_GB2312" w:eastAsia="仿宋_GB2312" w:hAnsiTheme="majorEastAsia" w:hint="eastAsia"/>
          <w:b/>
          <w:sz w:val="32"/>
          <w:szCs w:val="32"/>
        </w:rPr>
      </w:pPr>
    </w:p>
    <w:p w:rsidR="00B00D6C" w:rsidRDefault="00B00D6C" w:rsidP="00B43D6A">
      <w:pPr>
        <w:jc w:val="left"/>
        <w:rPr>
          <w:rFonts w:ascii="仿宋_GB2312" w:eastAsia="仿宋_GB2312" w:hAnsiTheme="majorEastAsia" w:hint="eastAsia"/>
          <w:sz w:val="32"/>
          <w:szCs w:val="32"/>
        </w:rPr>
      </w:pPr>
      <w:r w:rsidRPr="00B00D6C">
        <w:rPr>
          <w:rFonts w:ascii="仿宋_GB2312" w:eastAsia="仿宋_GB2312" w:hAnsiTheme="majorEastAsia" w:hint="eastAsia"/>
          <w:b/>
          <w:sz w:val="32"/>
          <w:szCs w:val="32"/>
        </w:rPr>
        <w:t>长春院</w:t>
      </w:r>
      <w:r>
        <w:rPr>
          <w:rFonts w:ascii="仿宋_GB2312" w:eastAsia="仿宋_GB2312" w:hAnsiTheme="majorEastAsia" w:hint="eastAsia"/>
          <w:sz w:val="32"/>
          <w:szCs w:val="32"/>
        </w:rPr>
        <w:t>：</w:t>
      </w:r>
    </w:p>
    <w:p w:rsidR="00B00D6C" w:rsidRDefault="00B00D6C" w:rsidP="00B43D6A">
      <w:pPr>
        <w:jc w:val="left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</w:t>
      </w:r>
      <w:r w:rsidR="00DA15AB">
        <w:rPr>
          <w:rFonts w:ascii="仿宋_GB2312" w:eastAsia="仿宋_GB2312" w:hAnsiTheme="majorEastAsia" w:hint="eastAsia"/>
          <w:sz w:val="32"/>
          <w:szCs w:val="32"/>
        </w:rPr>
        <w:t>截止2021上半年6月30日，长春院结案数为461件，裁判文书上网，文书公开328篇，信息公开23篇，共351篇，裁判文书上网率为76.14%</w:t>
      </w:r>
      <w:r w:rsidR="00E95664">
        <w:rPr>
          <w:rFonts w:ascii="仿宋_GB2312" w:eastAsia="仿宋_GB2312" w:hAnsiTheme="majorEastAsia" w:hint="eastAsia"/>
          <w:sz w:val="32"/>
          <w:szCs w:val="32"/>
        </w:rPr>
        <w:t>；</w:t>
      </w:r>
      <w:r w:rsidR="00DA15AB">
        <w:rPr>
          <w:rFonts w:ascii="仿宋_GB2312" w:eastAsia="仿宋_GB2312" w:hAnsiTheme="majorEastAsia" w:hint="eastAsia"/>
          <w:sz w:val="32"/>
          <w:szCs w:val="32"/>
        </w:rPr>
        <w:t>上诉案件71件，未生效48件，二审已结</w:t>
      </w:r>
      <w:r w:rsidR="00767538">
        <w:rPr>
          <w:rFonts w:ascii="仿宋_GB2312" w:eastAsia="仿宋_GB2312" w:hAnsiTheme="majorEastAsia" w:hint="eastAsia"/>
          <w:sz w:val="32"/>
          <w:szCs w:val="32"/>
        </w:rPr>
        <w:t>20件行政案件，因涉社会热点等客观原因暂未上网，导致长春院的挂接文书也无法上传。如正常上传，则文书公开348篇，信息公开23篇，共371篇，裁判文书上网率为80.48%，达到裁判文书上网率指标要求。</w:t>
      </w:r>
      <w:r w:rsidR="00E95664">
        <w:rPr>
          <w:rFonts w:ascii="仿宋_GB2312" w:eastAsia="仿宋_GB2312" w:hAnsiTheme="majorEastAsia" w:hint="eastAsia"/>
          <w:sz w:val="32"/>
          <w:szCs w:val="32"/>
        </w:rPr>
        <w:t>（详见图二）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040"/>
        <w:gridCol w:w="960"/>
        <w:gridCol w:w="992"/>
        <w:gridCol w:w="993"/>
        <w:gridCol w:w="1307"/>
        <w:gridCol w:w="993"/>
        <w:gridCol w:w="1134"/>
        <w:gridCol w:w="1134"/>
      </w:tblGrid>
      <w:tr w:rsidR="00953E63" w:rsidTr="00953E63">
        <w:trPr>
          <w:trHeight w:val="1283"/>
          <w:jc w:val="center"/>
        </w:trPr>
        <w:tc>
          <w:tcPr>
            <w:tcW w:w="7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法院</w:t>
            </w:r>
          </w:p>
        </w:tc>
        <w:tc>
          <w:tcPr>
            <w:tcW w:w="104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E95664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文书</w:t>
            </w: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公开</w:t>
            </w: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数</w:t>
            </w:r>
          </w:p>
        </w:tc>
        <w:tc>
          <w:tcPr>
            <w:tcW w:w="96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信息公开数</w:t>
            </w:r>
          </w:p>
        </w:tc>
        <w:tc>
          <w:tcPr>
            <w:tcW w:w="992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上网率</w:t>
            </w:r>
          </w:p>
        </w:tc>
        <w:tc>
          <w:tcPr>
            <w:tcW w:w="993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结案数</w:t>
            </w:r>
          </w:p>
        </w:tc>
        <w:tc>
          <w:tcPr>
            <w:tcW w:w="1307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E95664">
            <w:pPr>
              <w:snapToGrid w:val="0"/>
              <w:jc w:val="center"/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二审行政已结数（因客观原因中院无法上传）</w:t>
            </w:r>
          </w:p>
        </w:tc>
        <w:tc>
          <w:tcPr>
            <w:tcW w:w="993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E95664">
            <w:pPr>
              <w:snapToGrid w:val="0"/>
              <w:jc w:val="center"/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上诉未生效案件数</w:t>
            </w:r>
          </w:p>
        </w:tc>
        <w:tc>
          <w:tcPr>
            <w:tcW w:w="1134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953E63">
            <w:pPr>
              <w:snapToGrid w:val="0"/>
              <w:jc w:val="center"/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如无客观因素文书公开数</w:t>
            </w:r>
          </w:p>
        </w:tc>
        <w:tc>
          <w:tcPr>
            <w:tcW w:w="1134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正常上传上网率</w:t>
            </w:r>
          </w:p>
        </w:tc>
      </w:tr>
      <w:tr w:rsidR="00953E63" w:rsidTr="00953E63">
        <w:trPr>
          <w:trHeight w:val="440"/>
          <w:jc w:val="center"/>
        </w:trPr>
        <w:tc>
          <w:tcPr>
            <w:tcW w:w="7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长春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院</w:t>
            </w:r>
          </w:p>
        </w:tc>
        <w:tc>
          <w:tcPr>
            <w:tcW w:w="104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96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76.14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307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E95664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953E63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134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E9566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80.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%</w:t>
            </w:r>
          </w:p>
        </w:tc>
      </w:tr>
    </w:tbl>
    <w:p w:rsidR="00E95664" w:rsidRDefault="00E95664" w:rsidP="00B43D6A">
      <w:pPr>
        <w:jc w:val="left"/>
        <w:rPr>
          <w:rFonts w:ascii="仿宋_GB2312" w:eastAsia="仿宋_GB2312" w:hAnsiTheme="majorEastAsia" w:hint="eastAsia"/>
          <w:sz w:val="32"/>
          <w:szCs w:val="32"/>
        </w:rPr>
      </w:pPr>
    </w:p>
    <w:p w:rsidR="002D108C" w:rsidRPr="002D108C" w:rsidRDefault="00767538" w:rsidP="002D108C">
      <w:pPr>
        <w:jc w:val="left"/>
        <w:rPr>
          <w:rFonts w:ascii="仿宋_GB2312" w:eastAsia="仿宋_GB2312" w:hAnsiTheme="majorEastAsia" w:hint="eastAsia"/>
          <w:b/>
          <w:sz w:val="32"/>
          <w:szCs w:val="32"/>
        </w:rPr>
      </w:pPr>
      <w:r w:rsidRPr="002D108C">
        <w:rPr>
          <w:rFonts w:ascii="仿宋_GB2312" w:eastAsia="仿宋_GB2312" w:hAnsiTheme="majorEastAsia" w:hint="eastAsia"/>
          <w:b/>
          <w:sz w:val="32"/>
          <w:szCs w:val="32"/>
        </w:rPr>
        <w:t>吉林院：</w:t>
      </w:r>
    </w:p>
    <w:p w:rsidR="00767538" w:rsidRDefault="002D108C" w:rsidP="002D108C">
      <w:pPr>
        <w:jc w:val="left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  </w:t>
      </w:r>
      <w:r w:rsidRPr="002D108C">
        <w:rPr>
          <w:rFonts w:ascii="仿宋_GB2312" w:eastAsia="仿宋_GB2312" w:hAnsiTheme="majorEastAsia" w:hint="eastAsia"/>
          <w:sz w:val="32"/>
          <w:szCs w:val="32"/>
        </w:rPr>
        <w:t>截止2021上半年6月30日，吉林院结案数为523件，裁判文书上网，文书公开257篇，信息公开50篇，共307篇，裁判文书上网率为58.87%。未上网案</w:t>
      </w:r>
      <w:r w:rsidR="00EE3ECB">
        <w:rPr>
          <w:rFonts w:ascii="仿宋_GB2312" w:eastAsia="仿宋_GB2312" w:hAnsiTheme="majorEastAsia" w:hint="eastAsia"/>
          <w:sz w:val="32"/>
          <w:szCs w:val="32"/>
        </w:rPr>
        <w:t>件</w:t>
      </w:r>
      <w:r w:rsidRPr="002D108C">
        <w:rPr>
          <w:rFonts w:ascii="仿宋_GB2312" w:eastAsia="仿宋_GB2312" w:hAnsiTheme="majorEastAsia" w:hint="eastAsia"/>
          <w:sz w:val="32"/>
          <w:szCs w:val="32"/>
        </w:rPr>
        <w:t>中有25件上诉</w:t>
      </w:r>
      <w:r w:rsidRPr="002D108C">
        <w:rPr>
          <w:rFonts w:ascii="仿宋_GB2312" w:eastAsia="仿宋_GB2312" w:hAnsiTheme="majorEastAsia" w:hint="eastAsia"/>
          <w:sz w:val="32"/>
          <w:szCs w:val="32"/>
        </w:rPr>
        <w:lastRenderedPageBreak/>
        <w:t>至中院后未及裁判，导致一审裁判文书暂时无法上网；11件未生效案件，暂未上网。有78件行政案件、2件执行案件及32件行政执行保全案件在上网时提示涉及社会敏感问题，暂未上网，如正常上传，则文书公开369篇，信息公开50篇，共419篇，裁判文书上网率为80.11%，达到裁判文书上网率指标要求。</w:t>
      </w:r>
      <w:r w:rsidR="008A3CEF">
        <w:rPr>
          <w:rFonts w:ascii="仿宋_GB2312" w:eastAsia="仿宋_GB2312" w:hAnsiTheme="majorEastAsia" w:hint="eastAsia"/>
          <w:sz w:val="32"/>
          <w:szCs w:val="32"/>
        </w:rPr>
        <w:t>（详见图三）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040"/>
        <w:gridCol w:w="960"/>
        <w:gridCol w:w="992"/>
        <w:gridCol w:w="993"/>
        <w:gridCol w:w="1307"/>
        <w:gridCol w:w="993"/>
        <w:gridCol w:w="1134"/>
        <w:gridCol w:w="1134"/>
      </w:tblGrid>
      <w:tr w:rsidR="00953E63" w:rsidTr="00953E63">
        <w:trPr>
          <w:trHeight w:val="1283"/>
          <w:jc w:val="center"/>
        </w:trPr>
        <w:tc>
          <w:tcPr>
            <w:tcW w:w="7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法院</w:t>
            </w:r>
          </w:p>
        </w:tc>
        <w:tc>
          <w:tcPr>
            <w:tcW w:w="104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文书</w:t>
            </w: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公开</w:t>
            </w: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数</w:t>
            </w:r>
          </w:p>
        </w:tc>
        <w:tc>
          <w:tcPr>
            <w:tcW w:w="96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信息公开数</w:t>
            </w:r>
          </w:p>
        </w:tc>
        <w:tc>
          <w:tcPr>
            <w:tcW w:w="992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上网率</w:t>
            </w:r>
          </w:p>
        </w:tc>
        <w:tc>
          <w:tcPr>
            <w:tcW w:w="993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结案数</w:t>
            </w:r>
          </w:p>
        </w:tc>
        <w:tc>
          <w:tcPr>
            <w:tcW w:w="1307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涉敏文书数</w:t>
            </w:r>
          </w:p>
        </w:tc>
        <w:tc>
          <w:tcPr>
            <w:tcW w:w="993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上诉</w:t>
            </w: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未生效</w:t>
            </w: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案件数</w:t>
            </w:r>
          </w:p>
        </w:tc>
        <w:tc>
          <w:tcPr>
            <w:tcW w:w="1134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953E63">
            <w:pPr>
              <w:snapToGrid w:val="0"/>
              <w:jc w:val="center"/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如无客观因素文书公开数</w:t>
            </w:r>
          </w:p>
        </w:tc>
        <w:tc>
          <w:tcPr>
            <w:tcW w:w="1134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正常上传上网率</w:t>
            </w:r>
          </w:p>
        </w:tc>
      </w:tr>
      <w:tr w:rsidR="00953E63" w:rsidTr="00953E63">
        <w:trPr>
          <w:trHeight w:val="440"/>
          <w:jc w:val="center"/>
        </w:trPr>
        <w:tc>
          <w:tcPr>
            <w:tcW w:w="7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吉林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院</w:t>
            </w:r>
          </w:p>
        </w:tc>
        <w:tc>
          <w:tcPr>
            <w:tcW w:w="104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6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Pr="00E95664" w:rsidRDefault="00953E63" w:rsidP="0005685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95664">
              <w:rPr>
                <w:rFonts w:ascii="仿宋_GB2312" w:eastAsia="仿宋_GB2312" w:hAnsiTheme="majorEastAsia" w:hint="eastAsia"/>
                <w:sz w:val="24"/>
                <w:szCs w:val="32"/>
              </w:rPr>
              <w:t>58.87%</w:t>
            </w:r>
          </w:p>
        </w:tc>
        <w:tc>
          <w:tcPr>
            <w:tcW w:w="993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307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953E63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E9566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80.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%</w:t>
            </w:r>
          </w:p>
        </w:tc>
      </w:tr>
    </w:tbl>
    <w:p w:rsidR="00E95664" w:rsidRDefault="00E95664" w:rsidP="002D108C">
      <w:pPr>
        <w:jc w:val="left"/>
        <w:rPr>
          <w:rFonts w:ascii="仿宋_GB2312" w:eastAsia="仿宋_GB2312" w:hAnsiTheme="majorEastAsia" w:hint="eastAsia"/>
          <w:sz w:val="32"/>
          <w:szCs w:val="32"/>
        </w:rPr>
      </w:pPr>
    </w:p>
    <w:p w:rsidR="002D108C" w:rsidRDefault="002D108C" w:rsidP="002D108C">
      <w:pPr>
        <w:jc w:val="left"/>
        <w:rPr>
          <w:rFonts w:ascii="仿宋_GB2312" w:eastAsia="仿宋_GB2312" w:hAnsiTheme="majorEastAsia" w:hint="eastAsia"/>
          <w:sz w:val="32"/>
          <w:szCs w:val="32"/>
        </w:rPr>
      </w:pPr>
      <w:r w:rsidRPr="002D108C">
        <w:rPr>
          <w:rFonts w:ascii="仿宋_GB2312" w:eastAsia="仿宋_GB2312" w:hAnsiTheme="majorEastAsia" w:hint="eastAsia"/>
          <w:b/>
          <w:sz w:val="32"/>
          <w:szCs w:val="32"/>
        </w:rPr>
        <w:t>通化院</w:t>
      </w:r>
      <w:r>
        <w:rPr>
          <w:rFonts w:ascii="仿宋_GB2312" w:eastAsia="仿宋_GB2312" w:hAnsiTheme="majorEastAsia" w:hint="eastAsia"/>
          <w:sz w:val="32"/>
          <w:szCs w:val="32"/>
        </w:rPr>
        <w:t>：</w:t>
      </w:r>
    </w:p>
    <w:p w:rsidR="002D108C" w:rsidRDefault="002D108C" w:rsidP="002D108C">
      <w:pPr>
        <w:jc w:val="left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截止2021上半年6月30日，通化院结案数为45件，</w:t>
      </w:r>
      <w:r w:rsidRPr="002D108C">
        <w:rPr>
          <w:rFonts w:ascii="仿宋_GB2312" w:eastAsia="仿宋_GB2312" w:hAnsiTheme="majorEastAsia" w:hint="eastAsia"/>
          <w:sz w:val="32"/>
          <w:szCs w:val="32"/>
        </w:rPr>
        <w:t>裁判文书上网，文书公开</w:t>
      </w:r>
      <w:r>
        <w:rPr>
          <w:rFonts w:ascii="仿宋_GB2312" w:eastAsia="仿宋_GB2312" w:hAnsiTheme="majorEastAsia" w:hint="eastAsia"/>
          <w:sz w:val="32"/>
          <w:szCs w:val="32"/>
        </w:rPr>
        <w:t>34</w:t>
      </w:r>
      <w:r w:rsidRPr="002D108C">
        <w:rPr>
          <w:rFonts w:ascii="仿宋_GB2312" w:eastAsia="仿宋_GB2312" w:hAnsiTheme="majorEastAsia" w:hint="eastAsia"/>
          <w:sz w:val="32"/>
          <w:szCs w:val="32"/>
        </w:rPr>
        <w:t>篇，信息公开</w:t>
      </w:r>
      <w:r>
        <w:rPr>
          <w:rFonts w:ascii="仿宋_GB2312" w:eastAsia="仿宋_GB2312" w:hAnsiTheme="majorEastAsia" w:hint="eastAsia"/>
          <w:sz w:val="32"/>
          <w:szCs w:val="32"/>
        </w:rPr>
        <w:t>2</w:t>
      </w:r>
      <w:r w:rsidRPr="002D108C">
        <w:rPr>
          <w:rFonts w:ascii="仿宋_GB2312" w:eastAsia="仿宋_GB2312" w:hAnsiTheme="majorEastAsia" w:hint="eastAsia"/>
          <w:sz w:val="32"/>
          <w:szCs w:val="32"/>
        </w:rPr>
        <w:t>篇，共</w:t>
      </w:r>
      <w:r>
        <w:rPr>
          <w:rFonts w:ascii="仿宋_GB2312" w:eastAsia="仿宋_GB2312" w:hAnsiTheme="majorEastAsia" w:hint="eastAsia"/>
          <w:sz w:val="32"/>
          <w:szCs w:val="32"/>
        </w:rPr>
        <w:t>36</w:t>
      </w:r>
      <w:r w:rsidRPr="002D108C">
        <w:rPr>
          <w:rFonts w:ascii="仿宋_GB2312" w:eastAsia="仿宋_GB2312" w:hAnsiTheme="majorEastAsia" w:hint="eastAsia"/>
          <w:sz w:val="32"/>
          <w:szCs w:val="32"/>
        </w:rPr>
        <w:t>篇，裁判文书上网率为</w:t>
      </w:r>
      <w:r>
        <w:rPr>
          <w:rFonts w:ascii="仿宋_GB2312" w:eastAsia="仿宋_GB2312" w:hAnsiTheme="majorEastAsia" w:hint="eastAsia"/>
          <w:sz w:val="32"/>
          <w:szCs w:val="32"/>
        </w:rPr>
        <w:t>80</w:t>
      </w:r>
      <w:r w:rsidRPr="002D108C">
        <w:rPr>
          <w:rFonts w:ascii="仿宋_GB2312" w:eastAsia="仿宋_GB2312" w:hAnsiTheme="majorEastAsia" w:hint="eastAsia"/>
          <w:sz w:val="32"/>
          <w:szCs w:val="32"/>
        </w:rPr>
        <w:t>%</w:t>
      </w:r>
      <w:r>
        <w:rPr>
          <w:rFonts w:ascii="仿宋_GB2312" w:eastAsia="仿宋_GB2312" w:hAnsiTheme="majorEastAsia" w:hint="eastAsia"/>
          <w:sz w:val="32"/>
          <w:szCs w:val="32"/>
        </w:rPr>
        <w:t>，</w:t>
      </w:r>
      <w:r w:rsidRPr="002D108C">
        <w:rPr>
          <w:rFonts w:ascii="仿宋_GB2312" w:eastAsia="仿宋_GB2312" w:hAnsiTheme="majorEastAsia" w:hint="eastAsia"/>
          <w:sz w:val="32"/>
          <w:szCs w:val="32"/>
        </w:rPr>
        <w:t>达到裁判文书上网率指标要求。</w:t>
      </w:r>
      <w:r w:rsidR="00953E63">
        <w:rPr>
          <w:rFonts w:ascii="仿宋_GB2312" w:eastAsia="仿宋_GB2312" w:hAnsiTheme="majorEastAsia" w:hint="eastAsia"/>
          <w:sz w:val="32"/>
          <w:szCs w:val="32"/>
        </w:rPr>
        <w:t>未受特殊情况影响。（详见图</w:t>
      </w:r>
      <w:r w:rsidR="008A3CEF">
        <w:rPr>
          <w:rFonts w:ascii="仿宋_GB2312" w:eastAsia="仿宋_GB2312" w:hAnsiTheme="majorEastAsia" w:hint="eastAsia"/>
          <w:sz w:val="32"/>
          <w:szCs w:val="32"/>
        </w:rPr>
        <w:t>四</w:t>
      </w:r>
      <w:r w:rsidR="00953E63">
        <w:rPr>
          <w:rFonts w:ascii="仿宋_GB2312" w:eastAsia="仿宋_GB2312" w:hAnsiTheme="majorEastAsia" w:hint="eastAsia"/>
          <w:sz w:val="32"/>
          <w:szCs w:val="32"/>
        </w:rPr>
        <w:t>）</w:t>
      </w:r>
    </w:p>
    <w:tbl>
      <w:tblPr>
        <w:tblW w:w="6272" w:type="dxa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2"/>
        <w:gridCol w:w="1433"/>
        <w:gridCol w:w="1596"/>
        <w:gridCol w:w="992"/>
        <w:gridCol w:w="1169"/>
      </w:tblGrid>
      <w:tr w:rsidR="00E95664" w:rsidTr="00953E63">
        <w:trPr>
          <w:trHeight w:val="989"/>
          <w:jc w:val="center"/>
        </w:trPr>
        <w:tc>
          <w:tcPr>
            <w:tcW w:w="10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E95664" w:rsidRDefault="00E95664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法院</w:t>
            </w:r>
          </w:p>
        </w:tc>
        <w:tc>
          <w:tcPr>
            <w:tcW w:w="1433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E95664" w:rsidRDefault="00E95664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文书</w:t>
            </w:r>
            <w:r w:rsidR="00953E63"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公开</w:t>
            </w: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数</w:t>
            </w:r>
          </w:p>
        </w:tc>
        <w:tc>
          <w:tcPr>
            <w:tcW w:w="1596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E95664" w:rsidRDefault="00E95664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信息公开数</w:t>
            </w:r>
          </w:p>
        </w:tc>
        <w:tc>
          <w:tcPr>
            <w:tcW w:w="992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E95664" w:rsidRDefault="00E95664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上网率</w:t>
            </w:r>
          </w:p>
        </w:tc>
        <w:tc>
          <w:tcPr>
            <w:tcW w:w="116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E95664" w:rsidRDefault="00E95664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结案数</w:t>
            </w:r>
          </w:p>
        </w:tc>
      </w:tr>
      <w:tr w:rsidR="00E95664" w:rsidTr="00953E63">
        <w:trPr>
          <w:trHeight w:val="440"/>
          <w:jc w:val="center"/>
        </w:trPr>
        <w:tc>
          <w:tcPr>
            <w:tcW w:w="10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E95664" w:rsidRDefault="00E95664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通化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院</w:t>
            </w:r>
          </w:p>
        </w:tc>
        <w:tc>
          <w:tcPr>
            <w:tcW w:w="1433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E95664" w:rsidRDefault="00E95664" w:rsidP="0005685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96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E95664" w:rsidRDefault="00E95664" w:rsidP="0005685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E95664" w:rsidRPr="00E95664" w:rsidRDefault="00E95664" w:rsidP="0005685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32"/>
              </w:rPr>
              <w:t>80</w:t>
            </w:r>
            <w:r w:rsidRPr="00E95664">
              <w:rPr>
                <w:rFonts w:ascii="仿宋_GB2312" w:eastAsia="仿宋_GB2312" w:hAnsiTheme="majorEastAsia" w:hint="eastAsia"/>
                <w:sz w:val="24"/>
                <w:szCs w:val="32"/>
              </w:rPr>
              <w:t>%</w:t>
            </w:r>
          </w:p>
        </w:tc>
        <w:tc>
          <w:tcPr>
            <w:tcW w:w="116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E95664" w:rsidRDefault="00E95664" w:rsidP="0005685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45</w:t>
            </w:r>
          </w:p>
        </w:tc>
      </w:tr>
    </w:tbl>
    <w:p w:rsidR="00E95664" w:rsidRDefault="00E95664" w:rsidP="002D108C">
      <w:pPr>
        <w:jc w:val="left"/>
        <w:rPr>
          <w:rFonts w:ascii="仿宋_GB2312" w:eastAsia="仿宋_GB2312" w:hAnsiTheme="majorEastAsia" w:hint="eastAsia"/>
          <w:sz w:val="32"/>
          <w:szCs w:val="32"/>
        </w:rPr>
      </w:pPr>
    </w:p>
    <w:p w:rsidR="002D108C" w:rsidRDefault="002D108C" w:rsidP="002D108C">
      <w:pPr>
        <w:jc w:val="left"/>
        <w:rPr>
          <w:rFonts w:ascii="仿宋_GB2312" w:eastAsia="仿宋_GB2312" w:hAnsiTheme="majorEastAsia" w:hint="eastAsia"/>
          <w:b/>
          <w:sz w:val="32"/>
          <w:szCs w:val="32"/>
        </w:rPr>
      </w:pPr>
      <w:r w:rsidRPr="002D108C">
        <w:rPr>
          <w:rFonts w:ascii="仿宋_GB2312" w:eastAsia="仿宋_GB2312" w:hAnsiTheme="majorEastAsia" w:hint="eastAsia"/>
          <w:b/>
          <w:sz w:val="32"/>
          <w:szCs w:val="32"/>
        </w:rPr>
        <w:t>白城院：</w:t>
      </w:r>
    </w:p>
    <w:p w:rsidR="002D108C" w:rsidRDefault="002D108C" w:rsidP="002D108C">
      <w:pPr>
        <w:jc w:val="left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b/>
          <w:sz w:val="32"/>
          <w:szCs w:val="32"/>
        </w:rPr>
        <w:t xml:space="preserve">    </w:t>
      </w:r>
      <w:r w:rsidR="00724E86">
        <w:rPr>
          <w:rFonts w:ascii="仿宋_GB2312" w:eastAsia="仿宋_GB2312" w:hAnsiTheme="majorEastAsia" w:hint="eastAsia"/>
          <w:sz w:val="32"/>
          <w:szCs w:val="32"/>
        </w:rPr>
        <w:t>截止2021上半年6月30日，白城院结案数为47件，</w:t>
      </w:r>
      <w:r w:rsidR="00724E86" w:rsidRPr="002D108C">
        <w:rPr>
          <w:rFonts w:ascii="仿宋_GB2312" w:eastAsia="仿宋_GB2312" w:hAnsiTheme="majorEastAsia" w:hint="eastAsia"/>
          <w:sz w:val="32"/>
          <w:szCs w:val="32"/>
        </w:rPr>
        <w:t>裁判文书上网，文书公开</w:t>
      </w:r>
      <w:r w:rsidR="00724E86">
        <w:rPr>
          <w:rFonts w:ascii="仿宋_GB2312" w:eastAsia="仿宋_GB2312" w:hAnsiTheme="majorEastAsia" w:hint="eastAsia"/>
          <w:sz w:val="32"/>
          <w:szCs w:val="32"/>
        </w:rPr>
        <w:t>19</w:t>
      </w:r>
      <w:r w:rsidR="00724E86" w:rsidRPr="002D108C">
        <w:rPr>
          <w:rFonts w:ascii="仿宋_GB2312" w:eastAsia="仿宋_GB2312" w:hAnsiTheme="majorEastAsia" w:hint="eastAsia"/>
          <w:sz w:val="32"/>
          <w:szCs w:val="32"/>
        </w:rPr>
        <w:t>篇，信息公开</w:t>
      </w:r>
      <w:r w:rsidR="00724E86">
        <w:rPr>
          <w:rFonts w:ascii="仿宋_GB2312" w:eastAsia="仿宋_GB2312" w:hAnsiTheme="majorEastAsia" w:hint="eastAsia"/>
          <w:sz w:val="32"/>
          <w:szCs w:val="32"/>
        </w:rPr>
        <w:t>16</w:t>
      </w:r>
      <w:r w:rsidR="00724E86" w:rsidRPr="002D108C">
        <w:rPr>
          <w:rFonts w:ascii="仿宋_GB2312" w:eastAsia="仿宋_GB2312" w:hAnsiTheme="majorEastAsia" w:hint="eastAsia"/>
          <w:sz w:val="32"/>
          <w:szCs w:val="32"/>
        </w:rPr>
        <w:t>篇，共</w:t>
      </w:r>
      <w:r w:rsidR="00724E86">
        <w:rPr>
          <w:rFonts w:ascii="仿宋_GB2312" w:eastAsia="仿宋_GB2312" w:hAnsiTheme="majorEastAsia" w:hint="eastAsia"/>
          <w:sz w:val="32"/>
          <w:szCs w:val="32"/>
        </w:rPr>
        <w:t>35</w:t>
      </w:r>
      <w:r w:rsidR="00724E86" w:rsidRPr="002D108C">
        <w:rPr>
          <w:rFonts w:ascii="仿宋_GB2312" w:eastAsia="仿宋_GB2312" w:hAnsiTheme="majorEastAsia" w:hint="eastAsia"/>
          <w:sz w:val="32"/>
          <w:szCs w:val="32"/>
        </w:rPr>
        <w:t>篇，裁判文书上网率为</w:t>
      </w:r>
      <w:r w:rsidR="00724E86">
        <w:rPr>
          <w:rFonts w:ascii="仿宋_GB2312" w:eastAsia="仿宋_GB2312" w:hAnsiTheme="majorEastAsia" w:hint="eastAsia"/>
          <w:sz w:val="32"/>
          <w:szCs w:val="32"/>
        </w:rPr>
        <w:t>74.47</w:t>
      </w:r>
      <w:r w:rsidR="00724E86" w:rsidRPr="002D108C">
        <w:rPr>
          <w:rFonts w:ascii="仿宋_GB2312" w:eastAsia="仿宋_GB2312" w:hAnsiTheme="majorEastAsia" w:hint="eastAsia"/>
          <w:sz w:val="32"/>
          <w:szCs w:val="32"/>
        </w:rPr>
        <w:t>%</w:t>
      </w:r>
      <w:r w:rsidR="00724E86">
        <w:rPr>
          <w:rFonts w:ascii="仿宋_GB2312" w:eastAsia="仿宋_GB2312" w:hAnsiTheme="majorEastAsia" w:hint="eastAsia"/>
          <w:sz w:val="32"/>
          <w:szCs w:val="32"/>
        </w:rPr>
        <w:t>，</w:t>
      </w:r>
      <w:r w:rsidR="00EE3ECB">
        <w:rPr>
          <w:rFonts w:ascii="仿宋_GB2312" w:eastAsia="仿宋_GB2312" w:hAnsiTheme="majorEastAsia" w:hint="eastAsia"/>
          <w:sz w:val="32"/>
          <w:szCs w:val="32"/>
        </w:rPr>
        <w:t>未上网案件中，有涉敏行政案件</w:t>
      </w:r>
      <w:r w:rsidR="00EE3ECB">
        <w:rPr>
          <w:rFonts w:ascii="仿宋_GB2312" w:eastAsia="仿宋_GB2312" w:hAnsiTheme="majorEastAsia" w:hint="eastAsia"/>
          <w:sz w:val="32"/>
          <w:szCs w:val="32"/>
        </w:rPr>
        <w:lastRenderedPageBreak/>
        <w:t>4件，暂未上网。如正常上传，</w:t>
      </w:r>
      <w:r w:rsidR="00EE3ECB" w:rsidRPr="002D108C">
        <w:rPr>
          <w:rFonts w:ascii="仿宋_GB2312" w:eastAsia="仿宋_GB2312" w:hAnsiTheme="majorEastAsia" w:hint="eastAsia"/>
          <w:sz w:val="32"/>
          <w:szCs w:val="32"/>
        </w:rPr>
        <w:t>文书公开</w:t>
      </w:r>
      <w:r w:rsidR="00EE3ECB">
        <w:rPr>
          <w:rFonts w:ascii="仿宋_GB2312" w:eastAsia="仿宋_GB2312" w:hAnsiTheme="majorEastAsia" w:hint="eastAsia"/>
          <w:sz w:val="32"/>
          <w:szCs w:val="32"/>
        </w:rPr>
        <w:t>23</w:t>
      </w:r>
      <w:r w:rsidR="00EE3ECB" w:rsidRPr="002D108C">
        <w:rPr>
          <w:rFonts w:ascii="仿宋_GB2312" w:eastAsia="仿宋_GB2312" w:hAnsiTheme="majorEastAsia" w:hint="eastAsia"/>
          <w:sz w:val="32"/>
          <w:szCs w:val="32"/>
        </w:rPr>
        <w:t>篇，信息公开</w:t>
      </w:r>
      <w:r w:rsidR="00EE3ECB">
        <w:rPr>
          <w:rFonts w:ascii="仿宋_GB2312" w:eastAsia="仿宋_GB2312" w:hAnsiTheme="majorEastAsia" w:hint="eastAsia"/>
          <w:sz w:val="32"/>
          <w:szCs w:val="32"/>
        </w:rPr>
        <w:t>16</w:t>
      </w:r>
      <w:r w:rsidR="00EE3ECB" w:rsidRPr="002D108C">
        <w:rPr>
          <w:rFonts w:ascii="仿宋_GB2312" w:eastAsia="仿宋_GB2312" w:hAnsiTheme="majorEastAsia" w:hint="eastAsia"/>
          <w:sz w:val="32"/>
          <w:szCs w:val="32"/>
        </w:rPr>
        <w:t>篇，共</w:t>
      </w:r>
      <w:r w:rsidR="00EE3ECB">
        <w:rPr>
          <w:rFonts w:ascii="仿宋_GB2312" w:eastAsia="仿宋_GB2312" w:hAnsiTheme="majorEastAsia" w:hint="eastAsia"/>
          <w:sz w:val="32"/>
          <w:szCs w:val="32"/>
        </w:rPr>
        <w:t>39</w:t>
      </w:r>
      <w:r w:rsidR="00EE3ECB" w:rsidRPr="002D108C">
        <w:rPr>
          <w:rFonts w:ascii="仿宋_GB2312" w:eastAsia="仿宋_GB2312" w:hAnsiTheme="majorEastAsia" w:hint="eastAsia"/>
          <w:sz w:val="32"/>
          <w:szCs w:val="32"/>
        </w:rPr>
        <w:t>篇，裁判文书上网率为</w:t>
      </w:r>
      <w:r w:rsidR="00EE3ECB">
        <w:rPr>
          <w:rFonts w:ascii="仿宋_GB2312" w:eastAsia="仿宋_GB2312" w:hAnsiTheme="majorEastAsia" w:hint="eastAsia"/>
          <w:sz w:val="32"/>
          <w:szCs w:val="32"/>
        </w:rPr>
        <w:t>82.98</w:t>
      </w:r>
      <w:r w:rsidR="00EE3ECB" w:rsidRPr="002D108C">
        <w:rPr>
          <w:rFonts w:ascii="仿宋_GB2312" w:eastAsia="仿宋_GB2312" w:hAnsiTheme="majorEastAsia" w:hint="eastAsia"/>
          <w:sz w:val="32"/>
          <w:szCs w:val="32"/>
        </w:rPr>
        <w:t>%</w:t>
      </w:r>
      <w:r w:rsidR="00EE3ECB">
        <w:rPr>
          <w:rFonts w:ascii="仿宋_GB2312" w:eastAsia="仿宋_GB2312" w:hAnsiTheme="majorEastAsia" w:hint="eastAsia"/>
          <w:sz w:val="32"/>
          <w:szCs w:val="32"/>
        </w:rPr>
        <w:t>，</w:t>
      </w:r>
      <w:r w:rsidR="00EE3ECB" w:rsidRPr="002D108C">
        <w:rPr>
          <w:rFonts w:ascii="仿宋_GB2312" w:eastAsia="仿宋_GB2312" w:hAnsiTheme="majorEastAsia" w:hint="eastAsia"/>
          <w:sz w:val="32"/>
          <w:szCs w:val="32"/>
        </w:rPr>
        <w:t>达到裁判文书上网率指标要求</w:t>
      </w:r>
      <w:r w:rsidR="00953E63">
        <w:rPr>
          <w:rFonts w:ascii="仿宋_GB2312" w:eastAsia="仿宋_GB2312" w:hAnsiTheme="majorEastAsia" w:hint="eastAsia"/>
          <w:sz w:val="32"/>
          <w:szCs w:val="32"/>
        </w:rPr>
        <w:t>。</w:t>
      </w:r>
      <w:r w:rsidR="008A3CEF">
        <w:rPr>
          <w:rFonts w:ascii="仿宋_GB2312" w:eastAsia="仿宋_GB2312" w:hAnsiTheme="majorEastAsia" w:hint="eastAsia"/>
          <w:sz w:val="32"/>
          <w:szCs w:val="32"/>
        </w:rPr>
        <w:t>（详见图五）</w:t>
      </w:r>
    </w:p>
    <w:tbl>
      <w:tblPr>
        <w:tblW w:w="8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040"/>
        <w:gridCol w:w="960"/>
        <w:gridCol w:w="992"/>
        <w:gridCol w:w="993"/>
        <w:gridCol w:w="937"/>
        <w:gridCol w:w="1504"/>
        <w:gridCol w:w="1504"/>
      </w:tblGrid>
      <w:tr w:rsidR="00953E63" w:rsidTr="00953E63">
        <w:trPr>
          <w:trHeight w:val="1283"/>
          <w:jc w:val="center"/>
        </w:trPr>
        <w:tc>
          <w:tcPr>
            <w:tcW w:w="7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法院</w:t>
            </w:r>
          </w:p>
        </w:tc>
        <w:tc>
          <w:tcPr>
            <w:tcW w:w="104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文书</w:t>
            </w: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公开</w:t>
            </w: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数</w:t>
            </w:r>
          </w:p>
        </w:tc>
        <w:tc>
          <w:tcPr>
            <w:tcW w:w="96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信息公开数</w:t>
            </w:r>
          </w:p>
        </w:tc>
        <w:tc>
          <w:tcPr>
            <w:tcW w:w="992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上网率</w:t>
            </w:r>
          </w:p>
        </w:tc>
        <w:tc>
          <w:tcPr>
            <w:tcW w:w="993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结案数</w:t>
            </w:r>
          </w:p>
        </w:tc>
        <w:tc>
          <w:tcPr>
            <w:tcW w:w="937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涉敏文书数</w:t>
            </w:r>
          </w:p>
        </w:tc>
        <w:tc>
          <w:tcPr>
            <w:tcW w:w="1504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953E63">
            <w:pPr>
              <w:snapToGrid w:val="0"/>
              <w:jc w:val="center"/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如无客观因素文书上网数</w:t>
            </w:r>
          </w:p>
        </w:tc>
        <w:tc>
          <w:tcPr>
            <w:tcW w:w="1504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正常上传上网率</w:t>
            </w:r>
          </w:p>
        </w:tc>
      </w:tr>
      <w:tr w:rsidR="00953E63" w:rsidTr="00953E63">
        <w:trPr>
          <w:trHeight w:val="440"/>
          <w:jc w:val="center"/>
        </w:trPr>
        <w:tc>
          <w:tcPr>
            <w:tcW w:w="7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白城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院</w:t>
            </w:r>
          </w:p>
        </w:tc>
        <w:tc>
          <w:tcPr>
            <w:tcW w:w="104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Pr="00E95664" w:rsidRDefault="00953E63" w:rsidP="0005685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32"/>
              </w:rPr>
              <w:t>74.47</w:t>
            </w:r>
            <w:r w:rsidRPr="00E95664">
              <w:rPr>
                <w:rFonts w:ascii="仿宋_GB2312" w:eastAsia="仿宋_GB2312" w:hAnsiTheme="majorEastAsia" w:hint="eastAsia"/>
                <w:sz w:val="24"/>
                <w:szCs w:val="32"/>
              </w:rPr>
              <w:t>%</w:t>
            </w:r>
          </w:p>
        </w:tc>
        <w:tc>
          <w:tcPr>
            <w:tcW w:w="993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37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953E63">
            <w:pPr>
              <w:snapToGrid w:val="0"/>
              <w:jc w:val="center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04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82.98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%</w:t>
            </w:r>
          </w:p>
        </w:tc>
      </w:tr>
    </w:tbl>
    <w:p w:rsidR="00953E63" w:rsidRDefault="00953E63" w:rsidP="002D108C">
      <w:pPr>
        <w:jc w:val="left"/>
        <w:rPr>
          <w:rFonts w:ascii="仿宋_GB2312" w:eastAsia="仿宋_GB2312" w:hAnsiTheme="majorEastAsia" w:hint="eastAsia"/>
          <w:sz w:val="32"/>
          <w:szCs w:val="32"/>
        </w:rPr>
      </w:pPr>
    </w:p>
    <w:p w:rsidR="009849B8" w:rsidRDefault="009849B8" w:rsidP="002D108C">
      <w:pPr>
        <w:jc w:val="left"/>
        <w:rPr>
          <w:rFonts w:ascii="仿宋_GB2312" w:eastAsia="仿宋_GB2312" w:hAnsiTheme="majorEastAsia" w:hint="eastAsia"/>
          <w:sz w:val="32"/>
          <w:szCs w:val="32"/>
        </w:rPr>
      </w:pPr>
      <w:r w:rsidRPr="009849B8">
        <w:rPr>
          <w:rFonts w:ascii="仿宋_GB2312" w:eastAsia="仿宋_GB2312" w:hAnsiTheme="majorEastAsia" w:hint="eastAsia"/>
          <w:b/>
          <w:sz w:val="32"/>
          <w:szCs w:val="32"/>
        </w:rPr>
        <w:t>延边院</w:t>
      </w:r>
      <w:r>
        <w:rPr>
          <w:rFonts w:ascii="仿宋_GB2312" w:eastAsia="仿宋_GB2312" w:hAnsiTheme="majorEastAsia" w:hint="eastAsia"/>
          <w:sz w:val="32"/>
          <w:szCs w:val="32"/>
        </w:rPr>
        <w:t>：</w:t>
      </w:r>
    </w:p>
    <w:p w:rsidR="009849B8" w:rsidRDefault="009849B8" w:rsidP="009849B8">
      <w:pPr>
        <w:jc w:val="left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截止2021上半年6月30日，延边院结案数为427件，</w:t>
      </w:r>
      <w:r w:rsidRPr="002D108C">
        <w:rPr>
          <w:rFonts w:ascii="仿宋_GB2312" w:eastAsia="仿宋_GB2312" w:hAnsiTheme="majorEastAsia" w:hint="eastAsia"/>
          <w:sz w:val="32"/>
          <w:szCs w:val="32"/>
        </w:rPr>
        <w:t>裁判文书上网，文书公开</w:t>
      </w:r>
      <w:r>
        <w:rPr>
          <w:rFonts w:ascii="仿宋_GB2312" w:eastAsia="仿宋_GB2312" w:hAnsiTheme="majorEastAsia" w:hint="eastAsia"/>
          <w:sz w:val="32"/>
          <w:szCs w:val="32"/>
        </w:rPr>
        <w:t>285</w:t>
      </w:r>
      <w:r w:rsidRPr="002D108C">
        <w:rPr>
          <w:rFonts w:ascii="仿宋_GB2312" w:eastAsia="仿宋_GB2312" w:hAnsiTheme="majorEastAsia" w:hint="eastAsia"/>
          <w:sz w:val="32"/>
          <w:szCs w:val="32"/>
        </w:rPr>
        <w:t>篇，信息公开</w:t>
      </w:r>
      <w:r>
        <w:rPr>
          <w:rFonts w:ascii="仿宋_GB2312" w:eastAsia="仿宋_GB2312" w:hAnsiTheme="majorEastAsia" w:hint="eastAsia"/>
          <w:sz w:val="32"/>
          <w:szCs w:val="32"/>
        </w:rPr>
        <w:t>75</w:t>
      </w:r>
      <w:r w:rsidRPr="002D108C">
        <w:rPr>
          <w:rFonts w:ascii="仿宋_GB2312" w:eastAsia="仿宋_GB2312" w:hAnsiTheme="majorEastAsia" w:hint="eastAsia"/>
          <w:sz w:val="32"/>
          <w:szCs w:val="32"/>
        </w:rPr>
        <w:t>篇，共</w:t>
      </w:r>
      <w:r>
        <w:rPr>
          <w:rFonts w:ascii="仿宋_GB2312" w:eastAsia="仿宋_GB2312" w:hAnsiTheme="majorEastAsia" w:hint="eastAsia"/>
          <w:sz w:val="32"/>
          <w:szCs w:val="32"/>
        </w:rPr>
        <w:t>360</w:t>
      </w:r>
      <w:r w:rsidRPr="002D108C">
        <w:rPr>
          <w:rFonts w:ascii="仿宋_GB2312" w:eastAsia="仿宋_GB2312" w:hAnsiTheme="majorEastAsia" w:hint="eastAsia"/>
          <w:sz w:val="32"/>
          <w:szCs w:val="32"/>
        </w:rPr>
        <w:t>篇，裁判文书上网率为</w:t>
      </w:r>
      <w:r>
        <w:rPr>
          <w:rFonts w:ascii="仿宋_GB2312" w:eastAsia="仿宋_GB2312" w:hAnsiTheme="majorEastAsia" w:hint="eastAsia"/>
          <w:sz w:val="32"/>
          <w:szCs w:val="32"/>
        </w:rPr>
        <w:t>84.31</w:t>
      </w:r>
      <w:r w:rsidRPr="002D108C">
        <w:rPr>
          <w:rFonts w:ascii="仿宋_GB2312" w:eastAsia="仿宋_GB2312" w:hAnsiTheme="majorEastAsia" w:hint="eastAsia"/>
          <w:sz w:val="32"/>
          <w:szCs w:val="32"/>
        </w:rPr>
        <w:t>%</w:t>
      </w:r>
      <w:r>
        <w:rPr>
          <w:rFonts w:ascii="仿宋_GB2312" w:eastAsia="仿宋_GB2312" w:hAnsiTheme="majorEastAsia" w:hint="eastAsia"/>
          <w:sz w:val="32"/>
          <w:szCs w:val="32"/>
        </w:rPr>
        <w:t>，</w:t>
      </w:r>
      <w:r w:rsidRPr="002D108C">
        <w:rPr>
          <w:rFonts w:ascii="仿宋_GB2312" w:eastAsia="仿宋_GB2312" w:hAnsiTheme="majorEastAsia" w:hint="eastAsia"/>
          <w:sz w:val="32"/>
          <w:szCs w:val="32"/>
        </w:rPr>
        <w:t>达到裁判文书上网率指标要求。</w:t>
      </w:r>
      <w:r w:rsidR="008A3CEF">
        <w:rPr>
          <w:rFonts w:ascii="仿宋_GB2312" w:eastAsia="仿宋_GB2312" w:hAnsiTheme="majorEastAsia" w:hint="eastAsia"/>
          <w:sz w:val="32"/>
          <w:szCs w:val="32"/>
        </w:rPr>
        <w:t>（详见图六）</w:t>
      </w:r>
    </w:p>
    <w:tbl>
      <w:tblPr>
        <w:tblW w:w="6272" w:type="dxa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2"/>
        <w:gridCol w:w="1433"/>
        <w:gridCol w:w="1596"/>
        <w:gridCol w:w="992"/>
        <w:gridCol w:w="1169"/>
      </w:tblGrid>
      <w:tr w:rsidR="00953E63" w:rsidTr="00056851">
        <w:trPr>
          <w:trHeight w:val="989"/>
          <w:jc w:val="center"/>
        </w:trPr>
        <w:tc>
          <w:tcPr>
            <w:tcW w:w="10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法院</w:t>
            </w:r>
          </w:p>
        </w:tc>
        <w:tc>
          <w:tcPr>
            <w:tcW w:w="1433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文书</w:t>
            </w: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公开</w:t>
            </w: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数</w:t>
            </w:r>
          </w:p>
        </w:tc>
        <w:tc>
          <w:tcPr>
            <w:tcW w:w="1596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信息公开数</w:t>
            </w:r>
          </w:p>
        </w:tc>
        <w:tc>
          <w:tcPr>
            <w:tcW w:w="992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上网率</w:t>
            </w:r>
          </w:p>
        </w:tc>
        <w:tc>
          <w:tcPr>
            <w:tcW w:w="116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4F81BD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FFFFFF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FFFFFF"/>
                <w:sz w:val="24"/>
                <w:szCs w:val="24"/>
              </w:rPr>
              <w:t>结案数</w:t>
            </w:r>
          </w:p>
        </w:tc>
      </w:tr>
      <w:tr w:rsidR="00953E63" w:rsidTr="00056851">
        <w:trPr>
          <w:trHeight w:val="440"/>
          <w:jc w:val="center"/>
        </w:trPr>
        <w:tc>
          <w:tcPr>
            <w:tcW w:w="10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延边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院</w:t>
            </w:r>
          </w:p>
        </w:tc>
        <w:tc>
          <w:tcPr>
            <w:tcW w:w="1433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96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Pr="00E95664" w:rsidRDefault="00953E63" w:rsidP="0005685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32"/>
              </w:rPr>
              <w:t>84.31</w:t>
            </w:r>
            <w:r w:rsidRPr="00E95664">
              <w:rPr>
                <w:rFonts w:ascii="仿宋_GB2312" w:eastAsia="仿宋_GB2312" w:hAnsiTheme="majorEastAsia" w:hint="eastAsia"/>
                <w:sz w:val="24"/>
                <w:szCs w:val="32"/>
              </w:rPr>
              <w:t>%</w:t>
            </w:r>
          </w:p>
        </w:tc>
        <w:tc>
          <w:tcPr>
            <w:tcW w:w="116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  <w:shd w:val="clear" w:color="auto" w:fill="FFFFFF"/>
            <w:vAlign w:val="center"/>
          </w:tcPr>
          <w:p w:rsidR="00953E63" w:rsidRDefault="00953E63" w:rsidP="0005685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427</w:t>
            </w:r>
          </w:p>
        </w:tc>
      </w:tr>
    </w:tbl>
    <w:p w:rsidR="009A38D0" w:rsidRDefault="009A38D0" w:rsidP="009A38D0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黑体" w:cs="黑体" w:hint="eastAsia"/>
          <w:b/>
          <w:bCs/>
          <w:sz w:val="32"/>
          <w:szCs w:val="32"/>
        </w:rPr>
      </w:pPr>
    </w:p>
    <w:p w:rsidR="008A3CEF" w:rsidRDefault="009A38D0" w:rsidP="009A38D0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黑体" w:cs="黑体" w:hint="eastAsia"/>
          <w:b/>
          <w:bCs/>
          <w:sz w:val="32"/>
          <w:szCs w:val="32"/>
        </w:rPr>
      </w:pPr>
      <w:r w:rsidRPr="009A38D0">
        <w:rPr>
          <w:rFonts w:ascii="楷体_GB2312" w:eastAsia="楷体_GB2312" w:hAnsi="黑体" w:cs="黑体" w:hint="eastAsia"/>
          <w:b/>
          <w:bCs/>
          <w:sz w:val="32"/>
          <w:szCs w:val="32"/>
        </w:rPr>
        <w:t>（二）案件类型</w:t>
      </w:r>
    </w:p>
    <w:p w:rsidR="009A38D0" w:rsidRPr="009A38D0" w:rsidRDefault="009A38D0" w:rsidP="009A38D0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黑体" w:cs="黑体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自2019年4月1日</w:t>
      </w:r>
      <w:r w:rsidRPr="009A38D0">
        <w:rPr>
          <w:rFonts w:ascii="仿宋_GB2312" w:eastAsia="仿宋_GB2312" w:hAnsi="仿宋_GB2312" w:cs="仿宋_GB2312" w:hint="eastAsia"/>
          <w:sz w:val="32"/>
          <w:szCs w:val="32"/>
        </w:rPr>
        <w:t>扩大管辖后，铁路两级法院的整体案件构成与全省整体案件构成差别较大。</w:t>
      </w:r>
      <w:r>
        <w:rPr>
          <w:rFonts w:ascii="仿宋_GB2312" w:eastAsia="仿宋_GB2312" w:hAnsi="仿宋_GB2312" w:cs="仿宋_GB2312" w:hint="eastAsia"/>
          <w:sz w:val="32"/>
          <w:szCs w:val="32"/>
        </w:rPr>
        <w:t>截止2021.1.1-2021.6.30，铁路两级法院共新收案件1683件，已结1644件，其中新收行政案件407件，占比24.76%。</w:t>
      </w:r>
      <w:r w:rsidR="00C266C0">
        <w:rPr>
          <w:rFonts w:ascii="仿宋_GB2312" w:eastAsia="仿宋_GB2312" w:hAnsi="仿宋_GB2312" w:cs="仿宋_GB2312" w:hint="eastAsia"/>
          <w:sz w:val="32"/>
          <w:szCs w:val="32"/>
        </w:rPr>
        <w:t>行政案件又具有上诉率高、涉及社会热点等特点，导致行政案件一审已结文书都在后台挂接等待中，无法上传。</w:t>
      </w:r>
    </w:p>
    <w:p w:rsidR="008A3CEF" w:rsidRPr="008A3CEF" w:rsidRDefault="008A3CEF" w:rsidP="008A3CEF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 w:rsidRPr="008A3CEF">
        <w:rPr>
          <w:rFonts w:ascii="黑体" w:eastAsia="黑体" w:hAnsi="黑体" w:cs="黑体" w:hint="eastAsia"/>
          <w:bCs/>
          <w:sz w:val="32"/>
          <w:szCs w:val="32"/>
        </w:rPr>
        <w:lastRenderedPageBreak/>
        <w:t>二、关于年度审判绩效考核的建议</w:t>
      </w:r>
    </w:p>
    <w:p w:rsidR="008A3CEF" w:rsidRPr="008A3CEF" w:rsidRDefault="008A3CEF" w:rsidP="008A3CE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A3CEF">
        <w:rPr>
          <w:rFonts w:ascii="仿宋_GB2312" w:eastAsia="仿宋_GB2312" w:hAnsi="仿宋_GB2312" w:cs="仿宋_GB2312" w:hint="eastAsia"/>
          <w:sz w:val="32"/>
          <w:szCs w:val="32"/>
        </w:rPr>
        <w:t>建议省高院充分考虑铁路法院受案类型及</w:t>
      </w:r>
      <w:r>
        <w:rPr>
          <w:rFonts w:ascii="仿宋_GB2312" w:eastAsia="仿宋_GB2312" w:hAnsi="仿宋_GB2312" w:cs="仿宋_GB2312" w:hint="eastAsia"/>
          <w:sz w:val="32"/>
          <w:szCs w:val="32"/>
        </w:rPr>
        <w:t>客观因素</w:t>
      </w:r>
      <w:r w:rsidRPr="008A3CEF">
        <w:rPr>
          <w:rFonts w:ascii="仿宋_GB2312" w:eastAsia="仿宋_GB2312" w:hAnsi="仿宋_GB2312" w:cs="仿宋_GB2312" w:hint="eastAsia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sz w:val="32"/>
          <w:szCs w:val="32"/>
        </w:rPr>
        <w:t>铁路两级法院裁判文书上网半年</w:t>
      </w:r>
      <w:r w:rsidRPr="008A3CEF">
        <w:rPr>
          <w:rFonts w:ascii="仿宋_GB2312" w:eastAsia="仿宋_GB2312" w:hAnsi="仿宋_GB2312" w:cs="仿宋_GB2312" w:hint="eastAsia"/>
          <w:sz w:val="32"/>
          <w:szCs w:val="32"/>
        </w:rPr>
        <w:t>绩效指标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的影响</w:t>
      </w:r>
      <w:r w:rsidRPr="008A3CEF">
        <w:rPr>
          <w:rFonts w:ascii="仿宋_GB2312" w:eastAsia="仿宋_GB2312" w:hAnsi="仿宋_GB2312" w:cs="仿宋_GB2312" w:hint="eastAsia"/>
          <w:sz w:val="32"/>
          <w:szCs w:val="32"/>
        </w:rPr>
        <w:t>，确保考核方法真实反映铁路两级法院工作成效，有效发挥绩效考核的指挥棒作用。</w:t>
      </w:r>
    </w:p>
    <w:p w:rsidR="008A3CEF" w:rsidRPr="008A3CEF" w:rsidRDefault="008A3CEF" w:rsidP="008A3CEF">
      <w:pPr>
        <w:snapToGrid w:val="0"/>
        <w:spacing w:line="360" w:lineRule="auto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A3CEF">
        <w:rPr>
          <w:rFonts w:ascii="仿宋_GB2312" w:eastAsia="仿宋_GB2312" w:hAnsi="仿宋_GB2312" w:cs="仿宋_GB2312" w:hint="eastAsia"/>
          <w:sz w:val="32"/>
          <w:szCs w:val="32"/>
        </w:rPr>
        <w:t>特此报告。</w:t>
      </w:r>
    </w:p>
    <w:p w:rsidR="008A3CEF" w:rsidRPr="008A3CEF" w:rsidRDefault="008A3CEF" w:rsidP="008A3CEF">
      <w:pPr>
        <w:snapToGrid w:val="0"/>
        <w:spacing w:line="360" w:lineRule="auto"/>
        <w:ind w:firstLine="640"/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</w:p>
    <w:p w:rsidR="008A3CEF" w:rsidRPr="008A3CEF" w:rsidRDefault="008A3CEF" w:rsidP="008A3CEF">
      <w:pPr>
        <w:snapToGrid w:val="0"/>
        <w:spacing w:line="360" w:lineRule="auto"/>
        <w:ind w:firstLine="640"/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</w:p>
    <w:p w:rsidR="008A3CEF" w:rsidRPr="008A3CEF" w:rsidRDefault="008A3CEF" w:rsidP="008A3CEF">
      <w:pPr>
        <w:snapToGrid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 w:rsidRPr="008A3CEF">
        <w:rPr>
          <w:rFonts w:ascii="仿宋_GB2312" w:eastAsia="仿宋_GB2312" w:hAnsi="仿宋_GB2312" w:cs="仿宋_GB2312" w:hint="eastAsia"/>
          <w:sz w:val="32"/>
          <w:szCs w:val="32"/>
        </w:rPr>
        <w:t>吉林省长春铁路运输中级法院</w:t>
      </w:r>
    </w:p>
    <w:p w:rsidR="008A3CEF" w:rsidRPr="008A3CEF" w:rsidRDefault="008A3CEF" w:rsidP="008A3CEF">
      <w:pPr>
        <w:snapToGrid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 w:rsidRPr="008A3CEF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202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8A3CEF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8A3CEF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8A3CEF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849B8" w:rsidRPr="009849B8" w:rsidRDefault="009849B8" w:rsidP="008A3CEF">
      <w:pPr>
        <w:spacing w:line="360" w:lineRule="auto"/>
        <w:jc w:val="left"/>
        <w:rPr>
          <w:rFonts w:ascii="仿宋_GB2312" w:eastAsia="仿宋_GB2312" w:hAnsiTheme="majorEastAsia" w:hint="eastAsia"/>
          <w:b/>
          <w:sz w:val="32"/>
          <w:szCs w:val="32"/>
        </w:rPr>
      </w:pPr>
    </w:p>
    <w:p w:rsidR="002D108C" w:rsidRPr="002D108C" w:rsidRDefault="002D108C" w:rsidP="002D108C">
      <w:pPr>
        <w:jc w:val="left"/>
        <w:rPr>
          <w:rFonts w:ascii="仿宋_GB2312" w:eastAsia="仿宋_GB2312" w:hAnsiTheme="majorEastAsia"/>
          <w:sz w:val="32"/>
          <w:szCs w:val="32"/>
        </w:rPr>
      </w:pPr>
    </w:p>
    <w:sectPr w:rsidR="002D108C" w:rsidRPr="002D108C" w:rsidSect="00CC4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92F" w:rsidRDefault="00B7792F" w:rsidP="00043A12">
      <w:r>
        <w:separator/>
      </w:r>
    </w:p>
  </w:endnote>
  <w:endnote w:type="continuationSeparator" w:id="0">
    <w:p w:rsidR="00B7792F" w:rsidRDefault="00B7792F" w:rsidP="00043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92F" w:rsidRDefault="00B7792F" w:rsidP="00043A12">
      <w:r>
        <w:separator/>
      </w:r>
    </w:p>
  </w:footnote>
  <w:footnote w:type="continuationSeparator" w:id="0">
    <w:p w:rsidR="00B7792F" w:rsidRDefault="00B7792F" w:rsidP="00043A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D6A"/>
    <w:rsid w:val="00043A12"/>
    <w:rsid w:val="000E2366"/>
    <w:rsid w:val="001C3E71"/>
    <w:rsid w:val="001E6347"/>
    <w:rsid w:val="001F3E6D"/>
    <w:rsid w:val="002D108C"/>
    <w:rsid w:val="00316C3C"/>
    <w:rsid w:val="003F3900"/>
    <w:rsid w:val="003F4A34"/>
    <w:rsid w:val="005A25A5"/>
    <w:rsid w:val="00724E86"/>
    <w:rsid w:val="00767538"/>
    <w:rsid w:val="008A3CEF"/>
    <w:rsid w:val="00925C70"/>
    <w:rsid w:val="009362D1"/>
    <w:rsid w:val="00953E63"/>
    <w:rsid w:val="009849B8"/>
    <w:rsid w:val="009A38D0"/>
    <w:rsid w:val="00B00D6C"/>
    <w:rsid w:val="00B016FE"/>
    <w:rsid w:val="00B43D6A"/>
    <w:rsid w:val="00B7792F"/>
    <w:rsid w:val="00C266C0"/>
    <w:rsid w:val="00CB62FD"/>
    <w:rsid w:val="00CC4B7F"/>
    <w:rsid w:val="00D671C0"/>
    <w:rsid w:val="00DA15AB"/>
    <w:rsid w:val="00E71D12"/>
    <w:rsid w:val="00E95664"/>
    <w:rsid w:val="00EE3ECB"/>
    <w:rsid w:val="00FF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3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3A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3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3A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B9685-913F-45C4-8456-EF75490C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5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2021-07-05T01:30:00Z</dcterms:created>
  <dcterms:modified xsi:type="dcterms:W3CDTF">2021-07-07T06:37:00Z</dcterms:modified>
</cp:coreProperties>
</file>