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A" w:rsidRDefault="00313C5A" w:rsidP="00313C5A">
      <w:pPr>
        <w:jc w:val="center"/>
        <w:rPr>
          <w:b/>
          <w:sz w:val="44"/>
          <w:szCs w:val="44"/>
        </w:rPr>
      </w:pPr>
      <w:r w:rsidRPr="00313C5A">
        <w:rPr>
          <w:rFonts w:hint="eastAsia"/>
          <w:b/>
          <w:sz w:val="44"/>
          <w:szCs w:val="44"/>
        </w:rPr>
        <w:t>吉林省长春铁路运输两级法院</w:t>
      </w:r>
    </w:p>
    <w:p w:rsidR="00A06247" w:rsidRDefault="00313C5A" w:rsidP="00313C5A">
      <w:pPr>
        <w:jc w:val="center"/>
        <w:rPr>
          <w:b/>
          <w:sz w:val="44"/>
          <w:szCs w:val="44"/>
        </w:rPr>
      </w:pPr>
      <w:r w:rsidRPr="00313C5A">
        <w:rPr>
          <w:rFonts w:hint="eastAsia"/>
          <w:b/>
          <w:sz w:val="44"/>
          <w:szCs w:val="44"/>
        </w:rPr>
        <w:t>双百核查报告</w:t>
      </w:r>
    </w:p>
    <w:p w:rsidR="00313C5A" w:rsidRDefault="00313C5A" w:rsidP="00313C5A">
      <w:pPr>
        <w:jc w:val="center"/>
        <w:rPr>
          <w:b/>
          <w:sz w:val="44"/>
          <w:szCs w:val="44"/>
        </w:rPr>
      </w:pPr>
    </w:p>
    <w:p w:rsidR="00313C5A" w:rsidRPr="00595D80" w:rsidRDefault="00B46667" w:rsidP="00313C5A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全面贯彻党的十九大和十九届三中全会精神，紧紧围绕“努力让人民群众在每一个司法案件中感受到公平正义”的工作目标，满足人民群众对法院工作的知情权、参与权和监督权，根据省法院裁判文书公开“一核双擎”的工作要求，长铁两级法院组织开展了双百核查工作，</w:t>
      </w:r>
      <w:r w:rsidR="00595D80">
        <w:rPr>
          <w:rFonts w:ascii="仿宋_GB2312" w:eastAsia="仿宋_GB2312" w:hAnsiTheme="majorEastAsia" w:hint="eastAsia"/>
          <w:sz w:val="32"/>
          <w:szCs w:val="32"/>
        </w:rPr>
        <w:t>现对核查工作进行如下汇报：</w:t>
      </w:r>
    </w:p>
    <w:p w:rsidR="00595D80" w:rsidRDefault="00B46667" w:rsidP="00595D8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95D80" w:rsidRPr="00CB1817">
        <w:rPr>
          <w:rFonts w:ascii="黑体" w:eastAsia="黑体" w:hAnsi="黑体" w:hint="eastAsia"/>
          <w:sz w:val="32"/>
          <w:szCs w:val="32"/>
        </w:rPr>
        <w:t>一、整体情况</w:t>
      </w:r>
    </w:p>
    <w:p w:rsidR="00595D80" w:rsidRDefault="00595D80" w:rsidP="00595D80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595D80">
        <w:rPr>
          <w:rFonts w:ascii="Times New Roman" w:eastAsia="黑体" w:hAnsi="Times New Roman" w:cs="Times New Roman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年上半年，长铁两级法院共在中国裁判文书网上传裁判文书</w:t>
      </w:r>
      <w:r w:rsidR="00D65891">
        <w:rPr>
          <w:rFonts w:ascii="仿宋_GB2312" w:eastAsia="仿宋_GB2312" w:hAnsi="黑体" w:hint="eastAsia"/>
          <w:sz w:val="32"/>
          <w:szCs w:val="32"/>
        </w:rPr>
        <w:t>643</w:t>
      </w:r>
      <w:r>
        <w:rPr>
          <w:rFonts w:ascii="仿宋_GB2312" w:eastAsia="仿宋_GB2312" w:hAnsi="黑体" w:hint="eastAsia"/>
          <w:sz w:val="32"/>
          <w:szCs w:val="32"/>
        </w:rPr>
        <w:t>，其中中院</w:t>
      </w:r>
      <w:r w:rsidR="00D65891">
        <w:rPr>
          <w:rFonts w:ascii="仿宋_GB2312" w:eastAsia="仿宋_GB2312" w:hAnsi="黑体" w:hint="eastAsia"/>
          <w:sz w:val="32"/>
          <w:szCs w:val="32"/>
        </w:rPr>
        <w:t>122</w:t>
      </w:r>
      <w:r>
        <w:rPr>
          <w:rFonts w:ascii="仿宋_GB2312" w:eastAsia="仿宋_GB2312" w:hAnsi="黑体" w:hint="eastAsia"/>
          <w:sz w:val="32"/>
          <w:szCs w:val="32"/>
        </w:rPr>
        <w:t>篇，长春院</w:t>
      </w:r>
      <w:r w:rsidR="00D65891">
        <w:rPr>
          <w:rFonts w:ascii="仿宋_GB2312" w:eastAsia="仿宋_GB2312" w:hAnsi="黑体" w:hint="eastAsia"/>
          <w:sz w:val="32"/>
          <w:szCs w:val="32"/>
        </w:rPr>
        <w:t>193</w:t>
      </w:r>
      <w:r>
        <w:rPr>
          <w:rFonts w:ascii="仿宋_GB2312" w:eastAsia="仿宋_GB2312" w:hAnsi="黑体" w:hint="eastAsia"/>
          <w:sz w:val="32"/>
          <w:szCs w:val="32"/>
        </w:rPr>
        <w:t>篇，吉林院</w:t>
      </w:r>
      <w:r w:rsidR="00D65891">
        <w:rPr>
          <w:rFonts w:ascii="仿宋_GB2312" w:eastAsia="仿宋_GB2312" w:hAnsi="黑体" w:hint="eastAsia"/>
          <w:sz w:val="32"/>
          <w:szCs w:val="32"/>
        </w:rPr>
        <w:t>134</w:t>
      </w:r>
      <w:r>
        <w:rPr>
          <w:rFonts w:ascii="仿宋_GB2312" w:eastAsia="仿宋_GB2312" w:hAnsi="黑体" w:hint="eastAsia"/>
          <w:sz w:val="32"/>
          <w:szCs w:val="32"/>
        </w:rPr>
        <w:t>篇，通化院</w:t>
      </w:r>
      <w:r w:rsidR="00D65891">
        <w:rPr>
          <w:rFonts w:ascii="仿宋_GB2312" w:eastAsia="仿宋_GB2312" w:hAnsi="黑体" w:hint="eastAsia"/>
          <w:sz w:val="32"/>
          <w:szCs w:val="32"/>
        </w:rPr>
        <w:t>52</w:t>
      </w:r>
      <w:r>
        <w:rPr>
          <w:rFonts w:ascii="仿宋_GB2312" w:eastAsia="仿宋_GB2312" w:hAnsi="黑体" w:hint="eastAsia"/>
          <w:sz w:val="32"/>
          <w:szCs w:val="32"/>
        </w:rPr>
        <w:t>篇，白城院</w:t>
      </w:r>
      <w:r w:rsidR="00D65891">
        <w:rPr>
          <w:rFonts w:ascii="仿宋_GB2312" w:eastAsia="仿宋_GB2312" w:hAnsi="黑体" w:hint="eastAsia"/>
          <w:sz w:val="32"/>
          <w:szCs w:val="32"/>
        </w:rPr>
        <w:t>37</w:t>
      </w:r>
      <w:r>
        <w:rPr>
          <w:rFonts w:ascii="仿宋_GB2312" w:eastAsia="仿宋_GB2312" w:hAnsi="黑体" w:hint="eastAsia"/>
          <w:sz w:val="32"/>
          <w:szCs w:val="32"/>
        </w:rPr>
        <w:t>篇，延边</w:t>
      </w:r>
      <w:r w:rsidR="00D65891">
        <w:rPr>
          <w:rFonts w:ascii="仿宋_GB2312" w:eastAsia="仿宋_GB2312" w:hAnsi="黑体" w:hint="eastAsia"/>
          <w:sz w:val="32"/>
          <w:szCs w:val="32"/>
        </w:rPr>
        <w:t>102</w:t>
      </w:r>
      <w:r>
        <w:rPr>
          <w:rFonts w:ascii="仿宋_GB2312" w:eastAsia="仿宋_GB2312" w:hAnsi="黑体" w:hint="eastAsia"/>
          <w:sz w:val="32"/>
          <w:szCs w:val="32"/>
        </w:rPr>
        <w:t>篇；两级法院不公开文书共</w:t>
      </w:r>
      <w:r w:rsidR="00D65891">
        <w:rPr>
          <w:rFonts w:ascii="仿宋_GB2312" w:eastAsia="仿宋_GB2312" w:hAnsi="黑体" w:hint="eastAsia"/>
          <w:sz w:val="32"/>
          <w:szCs w:val="32"/>
        </w:rPr>
        <w:t>78</w:t>
      </w:r>
      <w:r>
        <w:rPr>
          <w:rFonts w:ascii="仿宋_GB2312" w:eastAsia="仿宋_GB2312" w:hAnsi="黑体" w:hint="eastAsia"/>
          <w:sz w:val="32"/>
          <w:szCs w:val="32"/>
        </w:rPr>
        <w:t>篇，其中中院</w:t>
      </w:r>
      <w:r w:rsidR="00D65891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篇，长春院</w:t>
      </w:r>
      <w:r w:rsidR="00D65891">
        <w:rPr>
          <w:rFonts w:ascii="仿宋_GB2312" w:eastAsia="仿宋_GB2312" w:hAnsi="黑体" w:hint="eastAsia"/>
          <w:sz w:val="32"/>
          <w:szCs w:val="32"/>
        </w:rPr>
        <w:t>38</w:t>
      </w:r>
      <w:r>
        <w:rPr>
          <w:rFonts w:ascii="仿宋_GB2312" w:eastAsia="仿宋_GB2312" w:hAnsi="黑体" w:hint="eastAsia"/>
          <w:sz w:val="32"/>
          <w:szCs w:val="32"/>
        </w:rPr>
        <w:t>篇，吉林院</w:t>
      </w:r>
      <w:r w:rsidR="00D65891"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篇，通化院5篇，</w:t>
      </w:r>
      <w:r w:rsidR="00D65891">
        <w:rPr>
          <w:rFonts w:ascii="仿宋_GB2312" w:eastAsia="仿宋_GB2312" w:hAnsi="黑体" w:hint="eastAsia"/>
          <w:sz w:val="32"/>
          <w:szCs w:val="32"/>
        </w:rPr>
        <w:t>白城院1篇，</w:t>
      </w:r>
      <w:r>
        <w:rPr>
          <w:rFonts w:ascii="仿宋_GB2312" w:eastAsia="仿宋_GB2312" w:hAnsi="黑体" w:hint="eastAsia"/>
          <w:sz w:val="32"/>
          <w:szCs w:val="32"/>
        </w:rPr>
        <w:t>延边院</w:t>
      </w:r>
      <w:r w:rsidR="00D65891">
        <w:rPr>
          <w:rFonts w:ascii="仿宋_GB2312" w:eastAsia="仿宋_GB2312" w:hAnsi="黑体" w:hint="eastAsia"/>
          <w:sz w:val="32"/>
          <w:szCs w:val="32"/>
        </w:rPr>
        <w:t>22</w:t>
      </w:r>
      <w:r>
        <w:rPr>
          <w:rFonts w:ascii="仿宋_GB2312" w:eastAsia="仿宋_GB2312" w:hAnsi="黑体" w:hint="eastAsia"/>
          <w:sz w:val="32"/>
          <w:szCs w:val="32"/>
        </w:rPr>
        <w:t>篇，各院均完成“双百”核查工作，做到符合公开条件的裁判文书在中裁网上“100%公开”，不符合条件的裁判文书才吉林司法公开网及中裁网上“100%公示”。</w:t>
      </w:r>
    </w:p>
    <w:p w:rsidR="00595D80" w:rsidRDefault="00595D80" w:rsidP="00595D8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2759FE">
        <w:rPr>
          <w:rFonts w:ascii="黑体" w:eastAsia="黑体" w:hAnsi="黑体" w:hint="eastAsia"/>
          <w:sz w:val="32"/>
          <w:szCs w:val="32"/>
        </w:rPr>
        <w:t>二、具体情况</w:t>
      </w:r>
    </w:p>
    <w:p w:rsidR="00595D80" w:rsidRPr="00F01455" w:rsidRDefault="00595D80" w:rsidP="00595D80">
      <w:pPr>
        <w:jc w:val="left"/>
        <w:rPr>
          <w:rFonts w:ascii="楷体_GB2312" w:eastAsia="楷体_GB2312" w:hAnsi="黑体"/>
          <w:b/>
          <w:sz w:val="32"/>
          <w:szCs w:val="32"/>
        </w:rPr>
      </w:pPr>
      <w:r w:rsidRPr="00F01455">
        <w:rPr>
          <w:rFonts w:ascii="楷体_GB2312" w:eastAsia="楷体_GB2312" w:hAnsi="黑体" w:hint="eastAsia"/>
          <w:b/>
          <w:sz w:val="32"/>
          <w:szCs w:val="32"/>
        </w:rPr>
        <w:t xml:space="preserve">   （一）铁路中院</w:t>
      </w:r>
    </w:p>
    <w:p w:rsidR="00595D80" w:rsidRDefault="00595D80" w:rsidP="00595D80">
      <w:pPr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 </w:t>
      </w:r>
      <w:r w:rsidR="00D65891">
        <w:rPr>
          <w:rFonts w:ascii="楷体_GB2312" w:eastAsia="楷体_GB2312" w:hAnsi="黑体" w:hint="eastAsia"/>
          <w:sz w:val="32"/>
          <w:szCs w:val="32"/>
        </w:rPr>
        <w:t>2020</w:t>
      </w:r>
      <w:r>
        <w:rPr>
          <w:rFonts w:ascii="楷体_GB2312" w:eastAsia="楷体_GB2312" w:hAnsi="黑体" w:hint="eastAsia"/>
          <w:sz w:val="32"/>
          <w:szCs w:val="32"/>
        </w:rPr>
        <w:t>年</w:t>
      </w:r>
      <w:r w:rsidR="00D65891">
        <w:rPr>
          <w:rFonts w:ascii="楷体_GB2312" w:eastAsia="楷体_GB2312" w:hAnsi="黑体" w:hint="eastAsia"/>
          <w:sz w:val="32"/>
          <w:szCs w:val="32"/>
        </w:rPr>
        <w:t>上</w:t>
      </w:r>
      <w:r>
        <w:rPr>
          <w:rFonts w:ascii="楷体_GB2312" w:eastAsia="楷体_GB2312" w:hAnsi="黑体" w:hint="eastAsia"/>
          <w:sz w:val="32"/>
          <w:szCs w:val="32"/>
        </w:rPr>
        <w:t>半年，中院共结案1</w:t>
      </w:r>
      <w:r w:rsidR="00D65891">
        <w:rPr>
          <w:rFonts w:ascii="楷体_GB2312" w:eastAsia="楷体_GB2312" w:hAnsi="黑体" w:hint="eastAsia"/>
          <w:sz w:val="32"/>
          <w:szCs w:val="32"/>
        </w:rPr>
        <w:t>32</w:t>
      </w:r>
      <w:r>
        <w:rPr>
          <w:rFonts w:ascii="楷体_GB2312" w:eastAsia="楷体_GB2312" w:hAnsi="黑体" w:hint="eastAsia"/>
          <w:sz w:val="32"/>
          <w:szCs w:val="32"/>
        </w:rPr>
        <w:t>件，共上网裁判文书1</w:t>
      </w:r>
      <w:r w:rsidR="00D65891">
        <w:rPr>
          <w:rFonts w:ascii="楷体_GB2312" w:eastAsia="楷体_GB2312" w:hAnsi="黑体" w:hint="eastAsia"/>
          <w:sz w:val="32"/>
          <w:szCs w:val="32"/>
        </w:rPr>
        <w:t>22</w:t>
      </w:r>
      <w:r>
        <w:rPr>
          <w:rFonts w:ascii="楷体_GB2312" w:eastAsia="楷体_GB2312" w:hAnsi="黑体" w:hint="eastAsia"/>
          <w:sz w:val="32"/>
          <w:szCs w:val="32"/>
        </w:rPr>
        <w:t>篇，不公开文书</w:t>
      </w:r>
      <w:r w:rsidR="00D65891">
        <w:rPr>
          <w:rFonts w:ascii="楷体_GB2312" w:eastAsia="楷体_GB2312" w:hAnsi="黑体" w:hint="eastAsia"/>
          <w:sz w:val="32"/>
          <w:szCs w:val="32"/>
        </w:rPr>
        <w:t>5</w:t>
      </w:r>
      <w:r>
        <w:rPr>
          <w:rFonts w:ascii="楷体_GB2312" w:eastAsia="楷体_GB2312" w:hAnsi="黑体" w:hint="eastAsia"/>
          <w:sz w:val="32"/>
          <w:szCs w:val="32"/>
        </w:rPr>
        <w:t>篇，</w:t>
      </w:r>
      <w:r w:rsidR="00D65891">
        <w:rPr>
          <w:rFonts w:ascii="楷体_GB2312" w:eastAsia="楷体_GB2312" w:hAnsi="黑体" w:hint="eastAsia"/>
          <w:sz w:val="32"/>
          <w:szCs w:val="32"/>
        </w:rPr>
        <w:t>非裁判文书5篇</w:t>
      </w:r>
      <w:r>
        <w:rPr>
          <w:rFonts w:ascii="楷体_GB2312" w:eastAsia="楷体_GB2312" w:hAnsi="黑体" w:hint="eastAsia"/>
          <w:sz w:val="32"/>
          <w:szCs w:val="32"/>
        </w:rPr>
        <w:t>。</w:t>
      </w:r>
    </w:p>
    <w:p w:rsidR="00595D80" w:rsidRDefault="00595D80" w:rsidP="00595D80">
      <w:pPr>
        <w:jc w:val="left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</w:t>
      </w:r>
      <w:r w:rsidRPr="00F01455">
        <w:rPr>
          <w:rFonts w:ascii="楷体_GB2312" w:eastAsia="楷体_GB2312" w:hAnsi="黑体" w:hint="eastAsia"/>
          <w:b/>
          <w:sz w:val="32"/>
          <w:szCs w:val="32"/>
        </w:rPr>
        <w:t>（二）长春铁路运输法院</w:t>
      </w:r>
    </w:p>
    <w:p w:rsidR="00595D80" w:rsidRDefault="00595D80" w:rsidP="00595D80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 xml:space="preserve">    </w:t>
      </w:r>
      <w:r w:rsidR="00D65891">
        <w:rPr>
          <w:rFonts w:ascii="仿宋_GB2312" w:eastAsia="仿宋_GB2312" w:hAnsi="黑体" w:hint="eastAsia"/>
          <w:sz w:val="32"/>
          <w:szCs w:val="32"/>
        </w:rPr>
        <w:t>2020</w:t>
      </w:r>
      <w:r w:rsidRPr="00F87FD1">
        <w:rPr>
          <w:rFonts w:ascii="仿宋_GB2312" w:eastAsia="仿宋_GB2312" w:hAnsi="黑体" w:hint="eastAsia"/>
          <w:sz w:val="32"/>
          <w:szCs w:val="32"/>
        </w:rPr>
        <w:t>年</w:t>
      </w:r>
      <w:r w:rsidR="00D65891">
        <w:rPr>
          <w:rFonts w:ascii="仿宋_GB2312" w:eastAsia="仿宋_GB2312" w:hAnsi="黑体" w:hint="eastAsia"/>
          <w:sz w:val="32"/>
          <w:szCs w:val="32"/>
        </w:rPr>
        <w:t>上</w:t>
      </w:r>
      <w:r w:rsidRPr="00F87FD1">
        <w:rPr>
          <w:rFonts w:ascii="仿宋_GB2312" w:eastAsia="仿宋_GB2312" w:hAnsi="黑体" w:hint="eastAsia"/>
          <w:sz w:val="32"/>
          <w:szCs w:val="32"/>
        </w:rPr>
        <w:t>半年</w:t>
      </w:r>
      <w:r>
        <w:rPr>
          <w:rFonts w:ascii="仿宋_GB2312" w:eastAsia="仿宋_GB2312" w:hAnsi="黑体" w:hint="eastAsia"/>
          <w:sz w:val="32"/>
          <w:szCs w:val="32"/>
        </w:rPr>
        <w:t>，长春院共结案26</w:t>
      </w:r>
      <w:r w:rsidR="00D65891"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件，共上网裁判文书</w:t>
      </w:r>
      <w:r w:rsidR="00D65891">
        <w:rPr>
          <w:rFonts w:ascii="仿宋_GB2312" w:eastAsia="仿宋_GB2312" w:hAnsi="黑体" w:hint="eastAsia"/>
          <w:sz w:val="32"/>
          <w:szCs w:val="32"/>
        </w:rPr>
        <w:t>193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篇，不公开文书3</w:t>
      </w:r>
      <w:r w:rsidR="00D65891"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篇，</w:t>
      </w:r>
      <w:r w:rsidR="00E80FF9">
        <w:rPr>
          <w:rFonts w:ascii="仿宋_GB2312" w:eastAsia="仿宋_GB2312" w:hAnsi="黑体" w:hint="eastAsia"/>
          <w:sz w:val="32"/>
          <w:szCs w:val="32"/>
        </w:rPr>
        <w:t>未生效文书3</w:t>
      </w:r>
      <w:r w:rsidR="00374AF5"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篇。</w:t>
      </w:r>
    </w:p>
    <w:p w:rsidR="00595D80" w:rsidRDefault="00595D80" w:rsidP="00595D80">
      <w:pPr>
        <w:jc w:val="left"/>
        <w:rPr>
          <w:rFonts w:ascii="楷体_GB2312" w:eastAsia="楷体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11449">
        <w:rPr>
          <w:rFonts w:ascii="楷体_GB2312" w:eastAsia="楷体_GB2312" w:hAnsi="黑体" w:hint="eastAsia"/>
          <w:b/>
          <w:sz w:val="32"/>
          <w:szCs w:val="32"/>
        </w:rPr>
        <w:t>（三）吉林铁路运输法院</w:t>
      </w:r>
    </w:p>
    <w:p w:rsidR="00595D80" w:rsidRDefault="00595D80" w:rsidP="00595D80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 xml:space="preserve">   </w:t>
      </w:r>
      <w:r w:rsidRPr="00822330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E80FF9">
        <w:rPr>
          <w:rFonts w:ascii="仿宋_GB2312" w:eastAsia="仿宋_GB2312" w:hAnsi="黑体" w:hint="eastAsia"/>
          <w:sz w:val="32"/>
          <w:szCs w:val="32"/>
        </w:rPr>
        <w:t>2020</w:t>
      </w:r>
      <w:r w:rsidRPr="00822330">
        <w:rPr>
          <w:rFonts w:ascii="仿宋_GB2312" w:eastAsia="仿宋_GB2312" w:hAnsi="黑体" w:hint="eastAsia"/>
          <w:sz w:val="32"/>
          <w:szCs w:val="32"/>
        </w:rPr>
        <w:t>年</w:t>
      </w:r>
      <w:r w:rsidR="00E80FF9">
        <w:rPr>
          <w:rFonts w:ascii="仿宋_GB2312" w:eastAsia="仿宋_GB2312" w:hAnsi="黑体" w:hint="eastAsia"/>
          <w:sz w:val="32"/>
          <w:szCs w:val="32"/>
        </w:rPr>
        <w:t>上</w:t>
      </w:r>
      <w:r w:rsidRPr="00822330">
        <w:rPr>
          <w:rFonts w:ascii="仿宋_GB2312" w:eastAsia="仿宋_GB2312" w:hAnsi="黑体" w:hint="eastAsia"/>
          <w:sz w:val="32"/>
          <w:szCs w:val="32"/>
        </w:rPr>
        <w:t>半年，吉林院共结案</w:t>
      </w:r>
      <w:r w:rsidR="00E80FF9">
        <w:rPr>
          <w:rFonts w:ascii="仿宋_GB2312" w:eastAsia="仿宋_GB2312" w:hAnsi="黑体" w:hint="eastAsia"/>
          <w:sz w:val="32"/>
          <w:szCs w:val="32"/>
        </w:rPr>
        <w:t>148</w:t>
      </w:r>
      <w:r w:rsidRPr="00822330">
        <w:rPr>
          <w:rFonts w:ascii="仿宋_GB2312" w:eastAsia="仿宋_GB2312" w:hAnsi="黑体" w:hint="eastAsia"/>
          <w:sz w:val="32"/>
          <w:szCs w:val="32"/>
        </w:rPr>
        <w:t>件，共上网裁判文书</w:t>
      </w:r>
      <w:r w:rsidR="00E80FF9">
        <w:rPr>
          <w:rFonts w:ascii="仿宋_GB2312" w:eastAsia="仿宋_GB2312" w:hAnsi="黑体" w:hint="eastAsia"/>
          <w:sz w:val="32"/>
          <w:szCs w:val="32"/>
        </w:rPr>
        <w:t>137</w:t>
      </w:r>
      <w:r w:rsidRPr="00822330">
        <w:rPr>
          <w:rFonts w:ascii="仿宋_GB2312" w:eastAsia="仿宋_GB2312" w:hAnsi="黑体" w:hint="eastAsia"/>
          <w:sz w:val="32"/>
          <w:szCs w:val="32"/>
        </w:rPr>
        <w:t>篇，不公开文书</w:t>
      </w:r>
      <w:r w:rsidR="00E80FF9">
        <w:rPr>
          <w:rFonts w:ascii="仿宋_GB2312" w:eastAsia="仿宋_GB2312" w:hAnsi="黑体" w:hint="eastAsia"/>
          <w:sz w:val="32"/>
          <w:szCs w:val="32"/>
        </w:rPr>
        <w:t>7</w:t>
      </w:r>
      <w:r w:rsidR="00437D55">
        <w:rPr>
          <w:rFonts w:ascii="仿宋_GB2312" w:eastAsia="仿宋_GB2312" w:hAnsi="黑体" w:hint="eastAsia"/>
          <w:sz w:val="32"/>
          <w:szCs w:val="32"/>
        </w:rPr>
        <w:t>篇</w:t>
      </w:r>
      <w:r w:rsidR="003F1018">
        <w:rPr>
          <w:rFonts w:ascii="仿宋_GB2312" w:eastAsia="仿宋_GB2312" w:hAnsi="黑体" w:hint="eastAsia"/>
          <w:sz w:val="32"/>
          <w:szCs w:val="32"/>
        </w:rPr>
        <w:t>，未生效待上线4篇</w:t>
      </w:r>
      <w:r w:rsidRPr="00822330">
        <w:rPr>
          <w:rFonts w:ascii="仿宋_GB2312" w:eastAsia="仿宋_GB2312" w:hAnsi="黑体" w:hint="eastAsia"/>
          <w:sz w:val="32"/>
          <w:szCs w:val="32"/>
        </w:rPr>
        <w:t>。</w:t>
      </w:r>
    </w:p>
    <w:p w:rsidR="00595D80" w:rsidRDefault="00595D80" w:rsidP="00595D80">
      <w:pPr>
        <w:jc w:val="left"/>
        <w:rPr>
          <w:rFonts w:ascii="楷体_GB2312" w:eastAsia="楷体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（四）通化铁路运输法院</w:t>
      </w:r>
    </w:p>
    <w:p w:rsidR="00595D80" w:rsidRDefault="00595D80" w:rsidP="00595D80">
      <w:pPr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 xml:space="preserve">     </w:t>
      </w:r>
      <w:r w:rsidR="00E80FF9">
        <w:rPr>
          <w:rFonts w:ascii="楷体_GB2312" w:eastAsia="楷体_GB2312" w:hAnsi="黑体" w:hint="eastAsia"/>
          <w:sz w:val="32"/>
          <w:szCs w:val="32"/>
        </w:rPr>
        <w:t>2020</w:t>
      </w:r>
      <w:r>
        <w:rPr>
          <w:rFonts w:ascii="楷体_GB2312" w:eastAsia="楷体_GB2312" w:hAnsi="黑体" w:hint="eastAsia"/>
          <w:sz w:val="32"/>
          <w:szCs w:val="32"/>
        </w:rPr>
        <w:t>年</w:t>
      </w:r>
      <w:r w:rsidR="00E80FF9">
        <w:rPr>
          <w:rFonts w:ascii="楷体_GB2312" w:eastAsia="楷体_GB2312" w:hAnsi="黑体" w:hint="eastAsia"/>
          <w:sz w:val="32"/>
          <w:szCs w:val="32"/>
        </w:rPr>
        <w:t>上</w:t>
      </w:r>
      <w:r>
        <w:rPr>
          <w:rFonts w:ascii="楷体_GB2312" w:eastAsia="楷体_GB2312" w:hAnsi="黑体" w:hint="eastAsia"/>
          <w:sz w:val="32"/>
          <w:szCs w:val="32"/>
        </w:rPr>
        <w:t>半年，通化院共结案</w:t>
      </w:r>
      <w:r w:rsidR="00E80FF9">
        <w:rPr>
          <w:rFonts w:ascii="楷体_GB2312" w:eastAsia="楷体_GB2312" w:hAnsi="黑体" w:hint="eastAsia"/>
          <w:sz w:val="32"/>
          <w:szCs w:val="32"/>
        </w:rPr>
        <w:t>57</w:t>
      </w:r>
      <w:r>
        <w:rPr>
          <w:rFonts w:ascii="楷体_GB2312" w:eastAsia="楷体_GB2312" w:hAnsi="黑体" w:hint="eastAsia"/>
          <w:sz w:val="32"/>
          <w:szCs w:val="32"/>
        </w:rPr>
        <w:t>件，共上网裁判文书</w:t>
      </w:r>
      <w:r w:rsidR="00E80FF9">
        <w:rPr>
          <w:rFonts w:ascii="楷体_GB2312" w:eastAsia="楷体_GB2312" w:hAnsi="黑体" w:hint="eastAsia"/>
          <w:sz w:val="32"/>
          <w:szCs w:val="32"/>
        </w:rPr>
        <w:t>52</w:t>
      </w:r>
      <w:r>
        <w:rPr>
          <w:rFonts w:ascii="楷体_GB2312" w:eastAsia="楷体_GB2312" w:hAnsi="黑体" w:hint="eastAsia"/>
          <w:sz w:val="32"/>
          <w:szCs w:val="32"/>
        </w:rPr>
        <w:t>篇，不公开文书</w:t>
      </w:r>
      <w:r w:rsidR="00437D55">
        <w:rPr>
          <w:rFonts w:ascii="楷体_GB2312" w:eastAsia="楷体_GB2312" w:hAnsi="黑体" w:hint="eastAsia"/>
          <w:sz w:val="32"/>
          <w:szCs w:val="32"/>
        </w:rPr>
        <w:t>4</w:t>
      </w:r>
      <w:r>
        <w:rPr>
          <w:rFonts w:ascii="楷体_GB2312" w:eastAsia="楷体_GB2312" w:hAnsi="黑体" w:hint="eastAsia"/>
          <w:sz w:val="32"/>
          <w:szCs w:val="32"/>
        </w:rPr>
        <w:t>篇</w:t>
      </w:r>
      <w:r w:rsidR="00437D55">
        <w:rPr>
          <w:rFonts w:ascii="楷体_GB2312" w:eastAsia="楷体_GB2312" w:hAnsi="黑体" w:hint="eastAsia"/>
          <w:sz w:val="32"/>
          <w:szCs w:val="32"/>
        </w:rPr>
        <w:t>，未生效待上线1篇</w:t>
      </w:r>
      <w:r>
        <w:rPr>
          <w:rFonts w:ascii="楷体_GB2312" w:eastAsia="楷体_GB2312" w:hAnsi="黑体" w:hint="eastAsia"/>
          <w:sz w:val="32"/>
          <w:szCs w:val="32"/>
        </w:rPr>
        <w:t>。</w:t>
      </w:r>
    </w:p>
    <w:p w:rsidR="00595D80" w:rsidRDefault="00595D80" w:rsidP="00595D80">
      <w:pPr>
        <w:jc w:val="left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 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sz w:val="32"/>
          <w:szCs w:val="32"/>
        </w:rPr>
        <w:t>五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）</w:t>
      </w:r>
      <w:r>
        <w:rPr>
          <w:rFonts w:ascii="楷体_GB2312" w:eastAsia="楷体_GB2312" w:hAnsi="黑体" w:hint="eastAsia"/>
          <w:b/>
          <w:sz w:val="32"/>
          <w:szCs w:val="32"/>
        </w:rPr>
        <w:t>白城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铁路运输法院</w:t>
      </w:r>
    </w:p>
    <w:p w:rsidR="00595D80" w:rsidRDefault="00595D80" w:rsidP="00595D80">
      <w:pPr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 xml:space="preserve">   </w:t>
      </w:r>
      <w:r w:rsidR="00E80FF9">
        <w:rPr>
          <w:rFonts w:ascii="楷体_GB2312" w:eastAsia="楷体_GB2312" w:hAnsi="黑体" w:hint="eastAsia"/>
          <w:b/>
          <w:sz w:val="32"/>
          <w:szCs w:val="32"/>
        </w:rPr>
        <w:t xml:space="preserve"> </w:t>
      </w:r>
      <w:r w:rsidR="00E80FF9">
        <w:rPr>
          <w:rFonts w:ascii="楷体_GB2312" w:eastAsia="楷体_GB2312" w:hAnsi="黑体" w:hint="eastAsia"/>
          <w:sz w:val="32"/>
          <w:szCs w:val="32"/>
        </w:rPr>
        <w:t>2020</w:t>
      </w:r>
      <w:r>
        <w:rPr>
          <w:rFonts w:ascii="楷体_GB2312" w:eastAsia="楷体_GB2312" w:hAnsi="黑体" w:hint="eastAsia"/>
          <w:sz w:val="32"/>
          <w:szCs w:val="32"/>
        </w:rPr>
        <w:t>年</w:t>
      </w:r>
      <w:r w:rsidR="00E80FF9">
        <w:rPr>
          <w:rFonts w:ascii="楷体_GB2312" w:eastAsia="楷体_GB2312" w:hAnsi="黑体" w:hint="eastAsia"/>
          <w:sz w:val="32"/>
          <w:szCs w:val="32"/>
        </w:rPr>
        <w:t>上</w:t>
      </w:r>
      <w:r>
        <w:rPr>
          <w:rFonts w:ascii="楷体_GB2312" w:eastAsia="楷体_GB2312" w:hAnsi="黑体" w:hint="eastAsia"/>
          <w:sz w:val="32"/>
          <w:szCs w:val="32"/>
        </w:rPr>
        <w:t>半年，白城院共结案</w:t>
      </w:r>
      <w:r w:rsidR="00437D55">
        <w:rPr>
          <w:rFonts w:ascii="楷体_GB2312" w:eastAsia="楷体_GB2312" w:hAnsi="黑体" w:hint="eastAsia"/>
          <w:sz w:val="32"/>
          <w:szCs w:val="32"/>
        </w:rPr>
        <w:t>45</w:t>
      </w:r>
      <w:r>
        <w:rPr>
          <w:rFonts w:ascii="楷体_GB2312" w:eastAsia="楷体_GB2312" w:hAnsi="黑体" w:hint="eastAsia"/>
          <w:sz w:val="32"/>
          <w:szCs w:val="32"/>
        </w:rPr>
        <w:t>件，共上网裁判文书</w:t>
      </w:r>
      <w:r w:rsidR="00437D55">
        <w:rPr>
          <w:rFonts w:ascii="楷体_GB2312" w:eastAsia="楷体_GB2312" w:hAnsi="黑体" w:hint="eastAsia"/>
          <w:sz w:val="32"/>
          <w:szCs w:val="32"/>
        </w:rPr>
        <w:t>37</w:t>
      </w:r>
      <w:r>
        <w:rPr>
          <w:rFonts w:ascii="楷体_GB2312" w:eastAsia="楷体_GB2312" w:hAnsi="黑体" w:hint="eastAsia"/>
          <w:sz w:val="32"/>
          <w:szCs w:val="32"/>
        </w:rPr>
        <w:t>篇，</w:t>
      </w:r>
      <w:r w:rsidR="00437D55">
        <w:rPr>
          <w:rFonts w:ascii="楷体_GB2312" w:eastAsia="楷体_GB2312" w:hAnsi="黑体" w:hint="eastAsia"/>
          <w:sz w:val="32"/>
          <w:szCs w:val="32"/>
        </w:rPr>
        <w:t>不公开文书1</w:t>
      </w:r>
      <w:r>
        <w:rPr>
          <w:rFonts w:ascii="楷体_GB2312" w:eastAsia="楷体_GB2312" w:hAnsi="黑体" w:hint="eastAsia"/>
          <w:sz w:val="32"/>
          <w:szCs w:val="32"/>
        </w:rPr>
        <w:t>篇</w:t>
      </w:r>
      <w:r w:rsidR="00DC20ED">
        <w:rPr>
          <w:rFonts w:ascii="楷体_GB2312" w:eastAsia="楷体_GB2312" w:hAnsi="黑体" w:hint="eastAsia"/>
          <w:sz w:val="32"/>
          <w:szCs w:val="32"/>
        </w:rPr>
        <w:t>，上诉未生效文书7篇</w:t>
      </w:r>
      <w:r>
        <w:rPr>
          <w:rFonts w:ascii="楷体_GB2312" w:eastAsia="楷体_GB2312" w:hAnsi="黑体" w:hint="eastAsia"/>
          <w:sz w:val="32"/>
          <w:szCs w:val="32"/>
        </w:rPr>
        <w:t>。</w:t>
      </w:r>
    </w:p>
    <w:p w:rsidR="00595D80" w:rsidRDefault="00595D80" w:rsidP="00595D80">
      <w:pPr>
        <w:jc w:val="left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 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sz w:val="32"/>
          <w:szCs w:val="32"/>
        </w:rPr>
        <w:t>六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）</w:t>
      </w:r>
      <w:r>
        <w:rPr>
          <w:rFonts w:ascii="楷体_GB2312" w:eastAsia="楷体_GB2312" w:hAnsi="黑体" w:hint="eastAsia"/>
          <w:b/>
          <w:sz w:val="32"/>
          <w:szCs w:val="32"/>
        </w:rPr>
        <w:t>延边</w:t>
      </w:r>
      <w:r w:rsidRPr="00822330">
        <w:rPr>
          <w:rFonts w:ascii="楷体_GB2312" w:eastAsia="楷体_GB2312" w:hAnsi="黑体" w:hint="eastAsia"/>
          <w:b/>
          <w:sz w:val="32"/>
          <w:szCs w:val="32"/>
        </w:rPr>
        <w:t>铁路运输法院</w:t>
      </w:r>
    </w:p>
    <w:p w:rsidR="00595D80" w:rsidRDefault="00595D80" w:rsidP="00595D80">
      <w:pPr>
        <w:jc w:val="left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 xml:space="preserve">    </w:t>
      </w:r>
      <w:r w:rsidR="00437D55">
        <w:rPr>
          <w:rFonts w:ascii="楷体_GB2312" w:eastAsia="楷体_GB2312" w:hAnsi="黑体" w:hint="eastAsia"/>
          <w:sz w:val="32"/>
          <w:szCs w:val="32"/>
        </w:rPr>
        <w:t>2020年上</w:t>
      </w:r>
      <w:r>
        <w:rPr>
          <w:rFonts w:ascii="楷体_GB2312" w:eastAsia="楷体_GB2312" w:hAnsi="黑体" w:hint="eastAsia"/>
          <w:sz w:val="32"/>
          <w:szCs w:val="32"/>
        </w:rPr>
        <w:t>半年，延边院共结案1</w:t>
      </w:r>
      <w:r w:rsidR="00437D55">
        <w:rPr>
          <w:rFonts w:ascii="楷体_GB2312" w:eastAsia="楷体_GB2312" w:hAnsi="黑体" w:hint="eastAsia"/>
          <w:sz w:val="32"/>
          <w:szCs w:val="32"/>
        </w:rPr>
        <w:t>24</w:t>
      </w:r>
      <w:r>
        <w:rPr>
          <w:rFonts w:ascii="楷体_GB2312" w:eastAsia="楷体_GB2312" w:hAnsi="黑体" w:hint="eastAsia"/>
          <w:sz w:val="32"/>
          <w:szCs w:val="32"/>
        </w:rPr>
        <w:t>件，共上网裁判文书</w:t>
      </w:r>
      <w:r w:rsidR="00437D55">
        <w:rPr>
          <w:rFonts w:ascii="楷体_GB2312" w:eastAsia="楷体_GB2312" w:hAnsi="黑体" w:hint="eastAsia"/>
          <w:sz w:val="32"/>
          <w:szCs w:val="32"/>
        </w:rPr>
        <w:t>102</w:t>
      </w:r>
      <w:r>
        <w:rPr>
          <w:rFonts w:ascii="楷体_GB2312" w:eastAsia="楷体_GB2312" w:hAnsi="黑体" w:hint="eastAsia"/>
          <w:sz w:val="32"/>
          <w:szCs w:val="32"/>
        </w:rPr>
        <w:t>篇，不公开文书</w:t>
      </w:r>
      <w:r w:rsidR="00437D55">
        <w:rPr>
          <w:rFonts w:ascii="楷体_GB2312" w:eastAsia="楷体_GB2312" w:hAnsi="黑体" w:hint="eastAsia"/>
          <w:sz w:val="32"/>
          <w:szCs w:val="32"/>
        </w:rPr>
        <w:t>22</w:t>
      </w:r>
      <w:r>
        <w:rPr>
          <w:rFonts w:ascii="楷体_GB2312" w:eastAsia="楷体_GB2312" w:hAnsi="黑体" w:hint="eastAsia"/>
          <w:sz w:val="32"/>
          <w:szCs w:val="32"/>
        </w:rPr>
        <w:t>篇。</w:t>
      </w:r>
    </w:p>
    <w:p w:rsidR="009240DB" w:rsidRDefault="009240DB" w:rsidP="009240DB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D7745F">
        <w:rPr>
          <w:rFonts w:ascii="黑体" w:eastAsia="黑体" w:hAnsi="黑体" w:cs="Times New Roman" w:hint="eastAsia"/>
          <w:sz w:val="32"/>
          <w:szCs w:val="32"/>
        </w:rPr>
        <w:t>、裁判文书上网工作的问题</w:t>
      </w:r>
    </w:p>
    <w:p w:rsidR="009240DB" w:rsidRDefault="009240DB" w:rsidP="009240D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</w:t>
      </w:r>
      <w:r w:rsidRPr="00D7745F">
        <w:rPr>
          <w:rFonts w:ascii="仿宋_GB2312" w:eastAsia="仿宋_GB2312" w:hAnsi="黑体" w:cs="Times New Roman" w:hint="eastAsia"/>
          <w:sz w:val="32"/>
          <w:szCs w:val="32"/>
        </w:rPr>
        <w:t xml:space="preserve"> 自</w:t>
      </w:r>
      <w:r w:rsidRPr="00D7745F"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年以来，</w:t>
      </w:r>
      <w:r w:rsidR="000316C7">
        <w:rPr>
          <w:rFonts w:ascii="Times New Roman" w:eastAsia="仿宋_GB2312" w:hAnsi="Times New Roman" w:cs="Times New Roman" w:hint="eastAsia"/>
          <w:sz w:val="32"/>
          <w:szCs w:val="32"/>
        </w:rPr>
        <w:t>长铁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中院通过优秀裁判文书评选、裁判文书质量筛查、云体检系统辅助纠错等措施加强裁判文书质量管理，取得了较好的成效，但是在此次</w:t>
      </w:r>
      <w:r w:rsidR="000316C7">
        <w:rPr>
          <w:rFonts w:ascii="Times New Roman" w:eastAsia="仿宋_GB2312" w:hAnsi="Times New Roman" w:cs="Times New Roman" w:hint="eastAsia"/>
          <w:sz w:val="32"/>
          <w:szCs w:val="32"/>
        </w:rPr>
        <w:t>双百核查与中院自行组织两级法院裁判文书筛查工作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中，仍存在裁判文书上网质量不高、错误上网以及各类低级错误。</w:t>
      </w:r>
    </w:p>
    <w:p w:rsidR="009240DB" w:rsidRDefault="009240DB" w:rsidP="009240DB">
      <w:pPr>
        <w:jc w:val="left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D7745F">
        <w:rPr>
          <w:rFonts w:ascii="楷体_GB2312" w:eastAsia="楷体_GB2312" w:hAnsi="Times New Roman" w:cs="Times New Roman" w:hint="eastAsia"/>
          <w:b/>
          <w:sz w:val="32"/>
          <w:szCs w:val="32"/>
        </w:rPr>
        <w:t>（一）重视程度不够</w:t>
      </w:r>
    </w:p>
    <w:p w:rsidR="009240DB" w:rsidRDefault="009240DB" w:rsidP="009240D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  </w:t>
      </w:r>
      <w:r w:rsidRPr="00FE2499">
        <w:rPr>
          <w:rFonts w:ascii="楷体_GB2312" w:eastAsia="楷体_GB2312" w:hAnsi="Times New Roman" w:cs="Times New Roman" w:hint="eastAsia"/>
          <w:sz w:val="32"/>
          <w:szCs w:val="32"/>
        </w:rPr>
        <w:t xml:space="preserve"> </w:t>
      </w:r>
      <w:r w:rsidRPr="00FE2499">
        <w:rPr>
          <w:rFonts w:ascii="仿宋_GB2312" w:eastAsia="仿宋_GB2312" w:hAnsi="Times New Roman" w:cs="Times New Roman" w:hint="eastAsia"/>
          <w:sz w:val="32"/>
          <w:szCs w:val="32"/>
        </w:rPr>
        <w:t>裁判文书质量是人民法院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司法能力、司法水平和审判质效的集中体现，具有较高的严肃性和权威性。尤其是公开上网的裁判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文书，需要更加谨慎的处理发布，一旦出现错传、误传，极有可能引发不必要的社会舆情。各院应当进一步提升对裁判文书上网工作重视程度，坚决避免不应当上网的文书错误上网，严格规范上网行为，杜绝低级错误。</w:t>
      </w:r>
    </w:p>
    <w:p w:rsidR="009240DB" w:rsidRDefault="009240DB" w:rsidP="009240DB">
      <w:pPr>
        <w:jc w:val="left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FE2499">
        <w:rPr>
          <w:rFonts w:ascii="楷体_GB2312" w:eastAsia="楷体_GB2312" w:hAnsi="Times New Roman" w:cs="Times New Roman" w:hint="eastAsia"/>
          <w:b/>
          <w:sz w:val="32"/>
          <w:szCs w:val="32"/>
        </w:rPr>
        <w:t>（二）管理规范不健全</w:t>
      </w:r>
    </w:p>
    <w:p w:rsidR="009240DB" w:rsidRDefault="009240DB" w:rsidP="009240D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   </w:t>
      </w:r>
      <w:r w:rsidR="000316C7">
        <w:rPr>
          <w:rFonts w:ascii="仿宋_GB2312" w:eastAsia="仿宋_GB2312" w:hAnsi="Times New Roman" w:cs="Times New Roman" w:hint="eastAsia"/>
          <w:sz w:val="32"/>
          <w:szCs w:val="32"/>
        </w:rPr>
        <w:t>各院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普遍没有对裁判文书上网工作进行统一规范，个别</w:t>
      </w:r>
      <w:r w:rsidR="000316C7">
        <w:rPr>
          <w:rFonts w:ascii="仿宋_GB2312" w:eastAsia="仿宋_GB2312" w:hAnsi="Times New Roman" w:cs="Times New Roman" w:hint="eastAsia"/>
          <w:sz w:val="32"/>
          <w:szCs w:val="32"/>
        </w:rPr>
        <w:t>法院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裁判文书上网工作由审判团队的法官助理或书记员单独负责，直接上传，没有严格的审核流程，文书是否上网、是否公开，承办法官并不知情，无人复核。各院应在相关工作交接的过程中，做好助理、书记员的培训指导工作，确保相关工作人员熟练掌握上网规定、操作流程。</w:t>
      </w:r>
    </w:p>
    <w:p w:rsidR="009240DB" w:rsidRDefault="009240DB" w:rsidP="009240DB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0316C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0316C7">
        <w:rPr>
          <w:rFonts w:ascii="黑体" w:eastAsia="黑体" w:hAnsi="黑体" w:cs="仿宋_GB2312" w:hint="eastAsia"/>
          <w:sz w:val="32"/>
          <w:szCs w:val="32"/>
        </w:rPr>
        <w:t>四</w:t>
      </w:r>
      <w:r>
        <w:rPr>
          <w:rFonts w:ascii="黑体" w:eastAsia="黑体" w:hAnsi="黑体" w:cs="仿宋_GB2312" w:hint="eastAsia"/>
          <w:sz w:val="32"/>
          <w:szCs w:val="32"/>
        </w:rPr>
        <w:t>、下一步整改措施与工作计划</w:t>
      </w:r>
    </w:p>
    <w:p w:rsidR="009240DB" w:rsidRDefault="009240DB" w:rsidP="009240D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为进一步提升裁判文书质量，有效防范裁判文书低级错误等现象的发生，严格控制裁判文书上网修改或撤回的申请数量，现就上网裁判文书质量管理提出如下要求：</w:t>
      </w:r>
    </w:p>
    <w:p w:rsidR="009240DB" w:rsidRDefault="009240DB" w:rsidP="009240D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一是进一步健全裁判文书质量管控机制。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文书制作样式上，严格执行最高人民法院关于裁判文书制作样式的相关规定，确保裁判文书要素齐全、格式规范。严格落实裁判文书制作者的责任，做到书记员进行体检、法官把关、审管办工作人员进行二次体检的层层把控，充分发挥审判团队整体作用，切实防范裁判文书“带病出门”。另外，法官对已经上网的裁判文书要进行回看，确保准确无误。</w:t>
      </w:r>
    </w:p>
    <w:p w:rsidR="009240DB" w:rsidRDefault="009240DB" w:rsidP="009240D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 xml:space="preserve"> 二是要进一步强化裁判文书云体检软件的应用。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借力科技手段，强化信息技术应用，充分发挥裁判文书云体检软件的作用。将进行体检作为裁判文书制作、上传的必经程序。但是需要注意的是，可以深度应用，不可深度依赖，最终还是要提升自身裁判文书制作水平，才可以有效避免文书的低级错误。</w:t>
      </w:r>
    </w:p>
    <w:p w:rsidR="009240DB" w:rsidRDefault="009240DB" w:rsidP="009240D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三是要进一步加强优秀裁判文书的示范引领作用。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省法院开展了全省三级法院优秀裁判文书评选活动，各个法院均评选出了优秀的裁判文书，各院可选择制作精良、说理充分、质量上乘，具有一定代表性和指导意义的优秀文书进行学习，以身边法官的优秀裁判文书为引领，更有利于激励自身裁判文书质量的提升。</w:t>
      </w:r>
    </w:p>
    <w:p w:rsidR="009240DB" w:rsidRDefault="009240DB" w:rsidP="009240D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四是要进一步落实责任追究制度。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中院将加强对各院裁判文书的跟踪监管，将裁判文书质量抽查工作常态化、制度化，一经发现多处瑕疵和低级错误，或因裁判文书的低级错误引发负面舆情、造成不良社会影响的，要按照司法责任制要求进行处理问责。</w:t>
      </w:r>
    </w:p>
    <w:p w:rsidR="009240DB" w:rsidRPr="009240DB" w:rsidRDefault="009240DB" w:rsidP="00595D80">
      <w:pPr>
        <w:jc w:val="left"/>
        <w:rPr>
          <w:rFonts w:ascii="楷体_GB2312" w:eastAsia="楷体_GB2312" w:hAnsi="黑体"/>
          <w:sz w:val="32"/>
          <w:szCs w:val="32"/>
        </w:rPr>
      </w:pPr>
    </w:p>
    <w:p w:rsidR="00B46667" w:rsidRPr="00313C5A" w:rsidRDefault="00B46667" w:rsidP="00313C5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B46667" w:rsidRPr="00313C5A" w:rsidSect="00313C5A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74" w:rsidRDefault="00551574" w:rsidP="00595D80">
      <w:r>
        <w:separator/>
      </w:r>
    </w:p>
  </w:endnote>
  <w:endnote w:type="continuationSeparator" w:id="0">
    <w:p w:rsidR="00551574" w:rsidRDefault="00551574" w:rsidP="0059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74" w:rsidRDefault="00551574" w:rsidP="00595D80">
      <w:r>
        <w:separator/>
      </w:r>
    </w:p>
  </w:footnote>
  <w:footnote w:type="continuationSeparator" w:id="0">
    <w:p w:rsidR="00551574" w:rsidRDefault="00551574" w:rsidP="00595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C5A"/>
    <w:rsid w:val="000316C7"/>
    <w:rsid w:val="000C64AF"/>
    <w:rsid w:val="00313C5A"/>
    <w:rsid w:val="00374AF5"/>
    <w:rsid w:val="003F1018"/>
    <w:rsid w:val="00437D55"/>
    <w:rsid w:val="00551574"/>
    <w:rsid w:val="00595D80"/>
    <w:rsid w:val="00904C8A"/>
    <w:rsid w:val="009240DB"/>
    <w:rsid w:val="00A06247"/>
    <w:rsid w:val="00B46667"/>
    <w:rsid w:val="00BF4DA5"/>
    <w:rsid w:val="00D65891"/>
    <w:rsid w:val="00DC20ED"/>
    <w:rsid w:val="00E8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2020-10-16T06:34:00Z</dcterms:created>
  <dcterms:modified xsi:type="dcterms:W3CDTF">2020-10-28T00:37:00Z</dcterms:modified>
</cp:coreProperties>
</file>